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75" w:rsidRDefault="00A76975" w:rsidP="00A76975">
      <w:pPr>
        <w:rPr>
          <w:b/>
          <w:bCs/>
          <w:color w:val="FF0000"/>
        </w:rPr>
      </w:pPr>
    </w:p>
    <w:p w:rsidR="0068074B" w:rsidRDefault="0068074B" w:rsidP="00A76975">
      <w:pPr>
        <w:rPr>
          <w:b/>
          <w:bCs/>
          <w:color w:val="FF0000"/>
        </w:rPr>
      </w:pPr>
    </w:p>
    <w:p w:rsidR="0068074B" w:rsidRDefault="0068074B" w:rsidP="0068074B">
      <w:pPr>
        <w:ind w:left="0"/>
        <w:jc w:val="right"/>
        <w:rPr>
          <w:b/>
          <w:bCs/>
          <w:color w:val="FF0000"/>
        </w:rPr>
      </w:pPr>
      <w:r w:rsidRPr="00894112">
        <w:rPr>
          <w:noProof/>
          <w:spacing w:val="-3"/>
          <w:lang w:eastAsia="en-GB"/>
        </w:rPr>
        <w:drawing>
          <wp:inline distT="0" distB="0" distL="0" distR="0" wp14:anchorId="359C8C89" wp14:editId="51C83F68">
            <wp:extent cx="798988" cy="900000"/>
            <wp:effectExtent l="19050" t="0" r="1112"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tretch>
                      <a:fillRect/>
                    </a:stretch>
                  </pic:blipFill>
                  <pic:spPr bwMode="auto">
                    <a:xfrm>
                      <a:off x="0" y="0"/>
                      <a:ext cx="798988" cy="900000"/>
                    </a:xfrm>
                    <a:prstGeom prst="rect">
                      <a:avLst/>
                    </a:prstGeom>
                    <a:noFill/>
                    <a:ln w="9525">
                      <a:noFill/>
                      <a:miter lim="800000"/>
                      <a:headEnd/>
                      <a:tailEnd/>
                    </a:ln>
                  </pic:spPr>
                </pic:pic>
              </a:graphicData>
            </a:graphic>
          </wp:inline>
        </w:drawing>
      </w:r>
    </w:p>
    <w:p w:rsidR="0068074B" w:rsidRDefault="0068074B" w:rsidP="0068074B">
      <w:pPr>
        <w:jc w:val="center"/>
        <w:rPr>
          <w:b/>
          <w:bCs/>
          <w:color w:val="000000" w:themeColor="text1"/>
          <w:sz w:val="28"/>
          <w:szCs w:val="28"/>
        </w:rPr>
      </w:pPr>
    </w:p>
    <w:sdt>
      <w:sdtPr>
        <w:rPr>
          <w:rFonts w:ascii="Calibri" w:hAnsi="Calibri"/>
          <w:b/>
          <w:bCs/>
          <w:color w:val="000000" w:themeColor="text1"/>
          <w:sz w:val="32"/>
          <w:szCs w:val="32"/>
        </w:rPr>
        <w:alias w:val="Title"/>
        <w:tag w:val="Title"/>
        <w:id w:val="-3667482"/>
        <w:placeholder>
          <w:docPart w:val="DefaultPlaceholder_1081868574"/>
        </w:placeholder>
        <w:text/>
      </w:sdtPr>
      <w:sdtEndPr/>
      <w:sdtContent>
        <w:p w:rsidR="0068074B" w:rsidRPr="00DF30C4" w:rsidRDefault="00AD123C" w:rsidP="0068074B">
          <w:pPr>
            <w:jc w:val="center"/>
            <w:rPr>
              <w:rFonts w:ascii="Calibri" w:hAnsi="Calibri"/>
              <w:b/>
              <w:bCs/>
              <w:color w:val="000000" w:themeColor="text1"/>
              <w:sz w:val="32"/>
              <w:szCs w:val="32"/>
            </w:rPr>
          </w:pPr>
          <w:r w:rsidRPr="00AD123C">
            <w:rPr>
              <w:rFonts w:ascii="Calibri" w:hAnsi="Calibri"/>
              <w:b/>
              <w:bCs/>
              <w:color w:val="000000" w:themeColor="text1"/>
              <w:sz w:val="32"/>
              <w:szCs w:val="32"/>
            </w:rPr>
            <w:t>PROTOCOL DEVIATIONS, VIOLATIONS AND ADVERSE EVENT REPORTING</w:t>
          </w:r>
        </w:p>
      </w:sdtContent>
    </w:sdt>
    <w:p w:rsidR="0068074B" w:rsidRPr="00DF30C4" w:rsidRDefault="0068074B" w:rsidP="0068074B">
      <w:pPr>
        <w:ind w:left="0"/>
        <w:rPr>
          <w:rFonts w:ascii="Calibri" w:hAnsi="Calibri"/>
          <w:b/>
          <w:bCs/>
          <w:color w:val="FF0000"/>
        </w:rPr>
      </w:pPr>
    </w:p>
    <w:tbl>
      <w:tblPr>
        <w:tblStyle w:val="TableGrid"/>
        <w:tblW w:w="0" w:type="auto"/>
        <w:jc w:val="center"/>
        <w:tblLook w:val="04A0" w:firstRow="1" w:lastRow="0" w:firstColumn="1" w:lastColumn="0" w:noHBand="0" w:noVBand="1"/>
      </w:tblPr>
      <w:tblGrid>
        <w:gridCol w:w="2552"/>
        <w:gridCol w:w="6799"/>
      </w:tblGrid>
      <w:tr w:rsidR="00A76975" w:rsidRPr="00DF30C4" w:rsidTr="001466C5">
        <w:trPr>
          <w:trHeight w:hRule="exact" w:val="567"/>
          <w:jc w:val="center"/>
        </w:trPr>
        <w:tc>
          <w:tcPr>
            <w:tcW w:w="2552" w:type="dxa"/>
            <w:vAlign w:val="center"/>
          </w:tcPr>
          <w:p w:rsidR="00A76975" w:rsidRPr="00DF30C4" w:rsidRDefault="00A76975" w:rsidP="001466C5">
            <w:pPr>
              <w:ind w:left="0"/>
              <w:rPr>
                <w:rFonts w:ascii="Calibri" w:hAnsi="Calibri"/>
                <w:bCs/>
              </w:rPr>
            </w:pPr>
            <w:r w:rsidRPr="00DF30C4">
              <w:rPr>
                <w:rFonts w:ascii="Calibri" w:hAnsi="Calibri"/>
                <w:bCs/>
              </w:rPr>
              <w:t>Reference Number</w:t>
            </w:r>
          </w:p>
        </w:tc>
        <w:tc>
          <w:tcPr>
            <w:tcW w:w="6799" w:type="dxa"/>
            <w:vAlign w:val="center"/>
          </w:tcPr>
          <w:sdt>
            <w:sdtPr>
              <w:rPr>
                <w:bCs/>
              </w:rPr>
              <w:alias w:val="Reference Number"/>
              <w:tag w:val="RefNo"/>
              <w:id w:val="1080482076"/>
              <w:placeholder>
                <w:docPart w:val="DefaultPlaceholder_1081868574"/>
              </w:placeholder>
              <w:text/>
            </w:sdtPr>
            <w:sdtEndPr/>
            <w:sdtContent>
              <w:p w:rsidR="00A76975" w:rsidRPr="00DF30C4" w:rsidRDefault="00AD123C" w:rsidP="009808C2">
                <w:pPr>
                  <w:ind w:left="0"/>
                  <w:rPr>
                    <w:rFonts w:ascii="Calibri" w:hAnsi="Calibri"/>
                    <w:bCs/>
                  </w:rPr>
                </w:pPr>
                <w:r>
                  <w:rPr>
                    <w:bCs/>
                  </w:rPr>
                  <w:t>MMU-RKE SOP 011</w:t>
                </w:r>
              </w:p>
            </w:sdtContent>
          </w:sdt>
        </w:tc>
      </w:tr>
      <w:tr w:rsidR="001466C5" w:rsidRPr="00DF30C4" w:rsidTr="00D14281">
        <w:trPr>
          <w:trHeight w:hRule="exact" w:val="582"/>
          <w:jc w:val="center"/>
        </w:trPr>
        <w:tc>
          <w:tcPr>
            <w:tcW w:w="2552" w:type="dxa"/>
            <w:vAlign w:val="center"/>
          </w:tcPr>
          <w:p w:rsidR="001466C5" w:rsidRPr="00DF30C4" w:rsidRDefault="001466C5" w:rsidP="001466C5">
            <w:pPr>
              <w:ind w:left="0"/>
              <w:rPr>
                <w:rFonts w:ascii="Calibri" w:hAnsi="Calibri"/>
                <w:bCs/>
              </w:rPr>
            </w:pPr>
            <w:r w:rsidRPr="00DF30C4">
              <w:rPr>
                <w:rFonts w:ascii="Calibri" w:hAnsi="Calibri"/>
                <w:bCs/>
              </w:rPr>
              <w:t>Version</w:t>
            </w:r>
          </w:p>
        </w:tc>
        <w:sdt>
          <w:sdtPr>
            <w:rPr>
              <w:rFonts w:ascii="Calibri" w:hAnsi="Calibri"/>
              <w:bCs/>
            </w:rPr>
            <w:alias w:val="Version Number"/>
            <w:tag w:val="version"/>
            <w:id w:val="-364676202"/>
            <w:placeholder>
              <w:docPart w:val="DefaultPlaceholder_1081868574"/>
            </w:placeholder>
            <w:text/>
          </w:sdtPr>
          <w:sdtEndPr/>
          <w:sdtContent>
            <w:tc>
              <w:tcPr>
                <w:tcW w:w="6799" w:type="dxa"/>
                <w:vAlign w:val="center"/>
              </w:tcPr>
              <w:p w:rsidR="001466C5" w:rsidRPr="00DF30C4" w:rsidRDefault="0083152C" w:rsidP="0083152C">
                <w:pPr>
                  <w:ind w:left="0"/>
                  <w:rPr>
                    <w:rFonts w:ascii="Calibri" w:hAnsi="Calibri"/>
                    <w:bCs/>
                  </w:rPr>
                </w:pPr>
                <w:r>
                  <w:rPr>
                    <w:rFonts w:ascii="Calibri" w:hAnsi="Calibri"/>
                    <w:bCs/>
                  </w:rPr>
                  <w:t>V</w:t>
                </w:r>
                <w:r w:rsidR="00576DFB">
                  <w:rPr>
                    <w:rFonts w:ascii="Calibri" w:hAnsi="Calibri"/>
                    <w:bCs/>
                  </w:rPr>
                  <w:t>ersion 1</w:t>
                </w:r>
                <w:r>
                  <w:rPr>
                    <w:rFonts w:ascii="Calibri" w:hAnsi="Calibri"/>
                    <w:bCs/>
                  </w:rPr>
                  <w:t>.0</w:t>
                </w:r>
                <w:r w:rsidR="00576DFB">
                  <w:rPr>
                    <w:rFonts w:ascii="Calibri" w:hAnsi="Calibri"/>
                    <w:bCs/>
                  </w:rPr>
                  <w:t xml:space="preserve">, </w:t>
                </w:r>
                <w:r>
                  <w:rPr>
                    <w:rFonts w:ascii="Calibri" w:hAnsi="Calibri"/>
                    <w:bCs/>
                  </w:rPr>
                  <w:t>1st February 2016</w:t>
                </w:r>
              </w:p>
            </w:tc>
          </w:sdtContent>
        </w:sdt>
      </w:tr>
      <w:tr w:rsidR="00A76975" w:rsidRPr="00DF30C4" w:rsidTr="001466C5">
        <w:trPr>
          <w:trHeight w:hRule="exact" w:val="567"/>
          <w:jc w:val="center"/>
        </w:trPr>
        <w:tc>
          <w:tcPr>
            <w:tcW w:w="2552" w:type="dxa"/>
            <w:vAlign w:val="center"/>
          </w:tcPr>
          <w:p w:rsidR="00A76975" w:rsidRPr="00DF30C4" w:rsidRDefault="00A76975" w:rsidP="001466C5">
            <w:pPr>
              <w:ind w:left="0"/>
              <w:rPr>
                <w:rFonts w:ascii="Calibri" w:hAnsi="Calibri"/>
                <w:bCs/>
              </w:rPr>
            </w:pPr>
            <w:r w:rsidRPr="00DF30C4">
              <w:rPr>
                <w:rFonts w:ascii="Calibri" w:hAnsi="Calibri"/>
                <w:bCs/>
              </w:rPr>
              <w:t>Effective Date</w:t>
            </w:r>
          </w:p>
        </w:tc>
        <w:tc>
          <w:tcPr>
            <w:tcW w:w="6799" w:type="dxa"/>
            <w:vAlign w:val="center"/>
          </w:tcPr>
          <w:p w:rsidR="00A76975" w:rsidRPr="00DF30C4" w:rsidRDefault="0083152C" w:rsidP="009808C2">
            <w:pPr>
              <w:ind w:left="0"/>
              <w:rPr>
                <w:rFonts w:ascii="Calibri" w:hAnsi="Calibri"/>
                <w:bCs/>
              </w:rPr>
            </w:pPr>
            <w:r>
              <w:rPr>
                <w:rFonts w:ascii="Calibri" w:hAnsi="Calibri"/>
                <w:bCs/>
              </w:rPr>
              <w:t>1</w:t>
            </w:r>
            <w:r w:rsidRPr="0083152C">
              <w:rPr>
                <w:rFonts w:ascii="Calibri" w:hAnsi="Calibri"/>
                <w:bCs/>
                <w:vertAlign w:val="superscript"/>
              </w:rPr>
              <w:t>st</w:t>
            </w:r>
            <w:r>
              <w:rPr>
                <w:rFonts w:ascii="Calibri" w:hAnsi="Calibri"/>
                <w:bCs/>
              </w:rPr>
              <w:t xml:space="preserve"> February 2016</w:t>
            </w:r>
          </w:p>
        </w:tc>
      </w:tr>
      <w:tr w:rsidR="00A76975" w:rsidRPr="00DF30C4" w:rsidTr="001466C5">
        <w:trPr>
          <w:trHeight w:hRule="exact" w:val="567"/>
          <w:jc w:val="center"/>
        </w:trPr>
        <w:tc>
          <w:tcPr>
            <w:tcW w:w="2552" w:type="dxa"/>
            <w:vAlign w:val="center"/>
          </w:tcPr>
          <w:p w:rsidR="00A76975" w:rsidRPr="00DF30C4" w:rsidRDefault="00A76975" w:rsidP="001466C5">
            <w:pPr>
              <w:ind w:left="0"/>
              <w:rPr>
                <w:rFonts w:ascii="Calibri" w:hAnsi="Calibri"/>
                <w:bCs/>
              </w:rPr>
            </w:pPr>
            <w:r w:rsidRPr="00DF30C4">
              <w:rPr>
                <w:rFonts w:ascii="Calibri" w:hAnsi="Calibri"/>
                <w:bCs/>
              </w:rPr>
              <w:t>Review Date</w:t>
            </w:r>
          </w:p>
        </w:tc>
        <w:tc>
          <w:tcPr>
            <w:tcW w:w="6799" w:type="dxa"/>
            <w:vAlign w:val="center"/>
          </w:tcPr>
          <w:p w:rsidR="00A76975" w:rsidRPr="00DF30C4" w:rsidRDefault="0083152C" w:rsidP="009808C2">
            <w:pPr>
              <w:ind w:left="0"/>
              <w:rPr>
                <w:rFonts w:ascii="Calibri" w:hAnsi="Calibri"/>
                <w:bCs/>
              </w:rPr>
            </w:pPr>
            <w:r>
              <w:rPr>
                <w:rFonts w:ascii="Calibri" w:hAnsi="Calibri"/>
                <w:bCs/>
              </w:rPr>
              <w:t>1</w:t>
            </w:r>
            <w:r w:rsidRPr="0083152C">
              <w:rPr>
                <w:rFonts w:ascii="Calibri" w:hAnsi="Calibri"/>
                <w:bCs/>
                <w:vertAlign w:val="superscript"/>
              </w:rPr>
              <w:t>st</w:t>
            </w:r>
            <w:r>
              <w:rPr>
                <w:rFonts w:ascii="Calibri" w:hAnsi="Calibri"/>
                <w:bCs/>
              </w:rPr>
              <w:t xml:space="preserve"> February 2018</w:t>
            </w:r>
          </w:p>
        </w:tc>
      </w:tr>
      <w:tr w:rsidR="001466C5" w:rsidRPr="00DF30C4" w:rsidTr="001466C5">
        <w:trPr>
          <w:trHeight w:hRule="exact" w:val="567"/>
          <w:jc w:val="center"/>
        </w:trPr>
        <w:tc>
          <w:tcPr>
            <w:tcW w:w="2552" w:type="dxa"/>
            <w:vAlign w:val="center"/>
          </w:tcPr>
          <w:p w:rsidR="001466C5" w:rsidRPr="00DF30C4" w:rsidRDefault="001466C5" w:rsidP="001466C5">
            <w:pPr>
              <w:ind w:left="0"/>
              <w:rPr>
                <w:rFonts w:ascii="Calibri" w:hAnsi="Calibri"/>
                <w:bCs/>
              </w:rPr>
            </w:pPr>
            <w:r w:rsidRPr="00DF30C4">
              <w:rPr>
                <w:rFonts w:ascii="Calibri" w:hAnsi="Calibri"/>
                <w:bCs/>
              </w:rPr>
              <w:t>Author</w:t>
            </w:r>
          </w:p>
        </w:tc>
        <w:tc>
          <w:tcPr>
            <w:tcW w:w="6799" w:type="dxa"/>
            <w:vAlign w:val="center"/>
          </w:tcPr>
          <w:sdt>
            <w:sdtPr>
              <w:rPr>
                <w:rFonts w:ascii="Calibri" w:hAnsi="Calibri"/>
                <w:bCs/>
              </w:rPr>
              <w:alias w:val="Author"/>
              <w:tag w:val="Author"/>
              <w:id w:val="2055738817"/>
              <w:placeholder>
                <w:docPart w:val="DefaultPlaceholder_1081868574"/>
              </w:placeholder>
              <w:text/>
            </w:sdtPr>
            <w:sdtEndPr/>
            <w:sdtContent>
              <w:p w:rsidR="001466C5" w:rsidRPr="00DF30C4" w:rsidRDefault="00DF30C4" w:rsidP="00DF30C4">
                <w:pPr>
                  <w:ind w:left="0" w:right="33"/>
                  <w:rPr>
                    <w:rFonts w:ascii="Calibri" w:hAnsi="Calibri"/>
                    <w:bCs/>
                  </w:rPr>
                </w:pPr>
                <w:r>
                  <w:rPr>
                    <w:rFonts w:ascii="Calibri" w:hAnsi="Calibri"/>
                    <w:bCs/>
                  </w:rPr>
                  <w:t>Zoe Lingard</w:t>
                </w:r>
                <w:r w:rsidR="00576DFB">
                  <w:rPr>
                    <w:rFonts w:ascii="Calibri" w:hAnsi="Calibri"/>
                    <w:bCs/>
                  </w:rPr>
                  <w:t>, Ethics and Research Governance Manager</w:t>
                </w:r>
                <w:r>
                  <w:rPr>
                    <w:rFonts w:ascii="Calibri" w:hAnsi="Calibri"/>
                    <w:bCs/>
                  </w:rPr>
                  <w:t xml:space="preserve"> </w:t>
                </w:r>
              </w:p>
            </w:sdtContent>
          </w:sdt>
        </w:tc>
      </w:tr>
      <w:tr w:rsidR="00A76975" w:rsidRPr="00DF30C4" w:rsidTr="001466C5">
        <w:trPr>
          <w:trHeight w:hRule="exact" w:val="1251"/>
          <w:jc w:val="center"/>
        </w:trPr>
        <w:tc>
          <w:tcPr>
            <w:tcW w:w="2552" w:type="dxa"/>
            <w:vAlign w:val="center"/>
          </w:tcPr>
          <w:p w:rsidR="001466C5" w:rsidRPr="00DF30C4" w:rsidRDefault="001466C5" w:rsidP="001466C5">
            <w:pPr>
              <w:ind w:left="0"/>
              <w:rPr>
                <w:rFonts w:ascii="Calibri" w:hAnsi="Calibri"/>
                <w:bCs/>
              </w:rPr>
            </w:pPr>
            <w:r w:rsidRPr="00DF30C4">
              <w:rPr>
                <w:rFonts w:ascii="Calibri" w:hAnsi="Calibri"/>
                <w:bCs/>
              </w:rPr>
              <w:t>Approved by</w:t>
            </w:r>
          </w:p>
          <w:p w:rsidR="001466C5" w:rsidRPr="00DF30C4" w:rsidRDefault="001466C5" w:rsidP="001466C5">
            <w:pPr>
              <w:ind w:left="0"/>
              <w:rPr>
                <w:rFonts w:ascii="Calibri" w:hAnsi="Calibri"/>
                <w:bCs/>
              </w:rPr>
            </w:pPr>
          </w:p>
          <w:p w:rsidR="00A76975" w:rsidRPr="00DF30C4" w:rsidRDefault="001466C5" w:rsidP="001466C5">
            <w:pPr>
              <w:ind w:left="0"/>
              <w:rPr>
                <w:rFonts w:ascii="Calibri" w:hAnsi="Calibri"/>
                <w:bCs/>
              </w:rPr>
            </w:pPr>
            <w:r w:rsidRPr="00DF30C4">
              <w:rPr>
                <w:rFonts w:ascii="Calibri" w:hAnsi="Calibri"/>
                <w:bCs/>
              </w:rPr>
              <w:t>Date</w:t>
            </w:r>
            <w:r w:rsidR="00A76975" w:rsidRPr="00DF30C4">
              <w:rPr>
                <w:rFonts w:ascii="Calibri" w:hAnsi="Calibri"/>
                <w:bCs/>
              </w:rPr>
              <w:t xml:space="preserve"> </w:t>
            </w:r>
          </w:p>
        </w:tc>
        <w:tc>
          <w:tcPr>
            <w:tcW w:w="6799" w:type="dxa"/>
          </w:tcPr>
          <w:p w:rsidR="001466C5" w:rsidRPr="00DF30C4" w:rsidRDefault="001466C5" w:rsidP="001466C5">
            <w:pPr>
              <w:ind w:left="0"/>
              <w:rPr>
                <w:rFonts w:ascii="Calibri" w:hAnsi="Calibri"/>
                <w:bCs/>
              </w:rPr>
            </w:pPr>
          </w:p>
          <w:p w:rsidR="006A6084" w:rsidRPr="0083152C" w:rsidRDefault="0083152C" w:rsidP="001466C5">
            <w:pPr>
              <w:ind w:left="0"/>
              <w:rPr>
                <w:rFonts w:ascii="Calibri" w:hAnsi="Calibri"/>
                <w:bCs/>
              </w:rPr>
            </w:pPr>
            <w:r>
              <w:rPr>
                <w:rFonts w:ascii="Calibri" w:hAnsi="Calibri"/>
                <w:bCs/>
              </w:rPr>
              <w:t>Prof David Raper, Director of Research and Knowledge Exchange</w:t>
            </w:r>
          </w:p>
          <w:p w:rsidR="001466C5" w:rsidRPr="00DF30C4" w:rsidRDefault="001466C5" w:rsidP="001466C5">
            <w:pPr>
              <w:ind w:left="0"/>
              <w:rPr>
                <w:rFonts w:ascii="Calibri" w:hAnsi="Calibri"/>
                <w:bCs/>
              </w:rPr>
            </w:pPr>
          </w:p>
          <w:p w:rsidR="001466C5" w:rsidRPr="00DF30C4" w:rsidRDefault="0083152C" w:rsidP="001466C5">
            <w:pPr>
              <w:ind w:left="0"/>
              <w:rPr>
                <w:rFonts w:ascii="Calibri" w:hAnsi="Calibri"/>
                <w:bCs/>
              </w:rPr>
            </w:pPr>
            <w:r>
              <w:rPr>
                <w:rFonts w:ascii="Calibri" w:hAnsi="Calibri"/>
                <w:bCs/>
              </w:rPr>
              <w:t>1</w:t>
            </w:r>
            <w:r w:rsidRPr="0083152C">
              <w:rPr>
                <w:rFonts w:ascii="Calibri" w:hAnsi="Calibri"/>
                <w:bCs/>
                <w:vertAlign w:val="superscript"/>
              </w:rPr>
              <w:t>st</w:t>
            </w:r>
            <w:r>
              <w:rPr>
                <w:rFonts w:ascii="Calibri" w:hAnsi="Calibri"/>
                <w:bCs/>
              </w:rPr>
              <w:t xml:space="preserve"> February 2016</w:t>
            </w:r>
          </w:p>
        </w:tc>
      </w:tr>
    </w:tbl>
    <w:p w:rsidR="00A76975" w:rsidRPr="00DF30C4" w:rsidRDefault="00A76975" w:rsidP="00A76975">
      <w:pPr>
        <w:jc w:val="center"/>
        <w:rPr>
          <w:rFonts w:ascii="Calibri" w:hAnsi="Calibri"/>
          <w:b/>
          <w:bCs/>
          <w:color w:val="FF0000"/>
        </w:rPr>
      </w:pPr>
    </w:p>
    <w:p w:rsidR="00A76975" w:rsidRPr="00DF30C4" w:rsidRDefault="00A76975" w:rsidP="00A76975">
      <w:pPr>
        <w:rPr>
          <w:rFonts w:ascii="Calibri" w:hAnsi="Calibri"/>
          <w:b/>
          <w:bCs/>
        </w:rPr>
      </w:pPr>
    </w:p>
    <w:tbl>
      <w:tblPr>
        <w:tblStyle w:val="TableGrid"/>
        <w:tblW w:w="0" w:type="auto"/>
        <w:tblInd w:w="562" w:type="dxa"/>
        <w:tblLook w:val="04A0" w:firstRow="1" w:lastRow="0" w:firstColumn="1" w:lastColumn="0" w:noHBand="0" w:noVBand="1"/>
      </w:tblPr>
      <w:tblGrid>
        <w:gridCol w:w="1768"/>
        <w:gridCol w:w="2614"/>
        <w:gridCol w:w="4974"/>
      </w:tblGrid>
      <w:tr w:rsidR="001466C5" w:rsidRPr="00DF30C4" w:rsidTr="001466C5">
        <w:tc>
          <w:tcPr>
            <w:tcW w:w="1768" w:type="dxa"/>
          </w:tcPr>
          <w:p w:rsidR="001466C5" w:rsidRPr="00DF30C4" w:rsidRDefault="001466C5">
            <w:pPr>
              <w:ind w:left="0"/>
              <w:rPr>
                <w:rFonts w:ascii="Calibri" w:hAnsi="Calibri"/>
                <w:b/>
                <w:bCs/>
              </w:rPr>
            </w:pPr>
            <w:r w:rsidRPr="00DF30C4">
              <w:rPr>
                <w:rFonts w:ascii="Calibri" w:hAnsi="Calibri"/>
                <w:b/>
                <w:bCs/>
              </w:rPr>
              <w:t>Version</w:t>
            </w:r>
          </w:p>
        </w:tc>
        <w:tc>
          <w:tcPr>
            <w:tcW w:w="2614" w:type="dxa"/>
          </w:tcPr>
          <w:p w:rsidR="001466C5" w:rsidRPr="00DF30C4" w:rsidRDefault="001466C5">
            <w:pPr>
              <w:ind w:left="0"/>
              <w:rPr>
                <w:rFonts w:ascii="Calibri" w:hAnsi="Calibri"/>
                <w:b/>
                <w:bCs/>
              </w:rPr>
            </w:pPr>
            <w:r w:rsidRPr="00DF30C4">
              <w:rPr>
                <w:rFonts w:ascii="Calibri" w:hAnsi="Calibri"/>
                <w:b/>
                <w:bCs/>
              </w:rPr>
              <w:t>Date</w:t>
            </w:r>
          </w:p>
        </w:tc>
        <w:tc>
          <w:tcPr>
            <w:tcW w:w="4974" w:type="dxa"/>
          </w:tcPr>
          <w:p w:rsidR="001466C5" w:rsidRPr="00DF30C4" w:rsidRDefault="001466C5">
            <w:pPr>
              <w:ind w:left="0"/>
              <w:rPr>
                <w:rFonts w:ascii="Calibri" w:hAnsi="Calibri"/>
                <w:b/>
                <w:bCs/>
              </w:rPr>
            </w:pPr>
            <w:r w:rsidRPr="00DF30C4">
              <w:rPr>
                <w:rFonts w:ascii="Calibri" w:hAnsi="Calibri"/>
                <w:b/>
                <w:bCs/>
              </w:rPr>
              <w:t>Reason for Change</w:t>
            </w:r>
          </w:p>
        </w:tc>
      </w:tr>
      <w:tr w:rsidR="001466C5" w:rsidRPr="00DF30C4" w:rsidTr="001466C5">
        <w:tc>
          <w:tcPr>
            <w:tcW w:w="1768" w:type="dxa"/>
          </w:tcPr>
          <w:p w:rsidR="001466C5" w:rsidRPr="00DF30C4" w:rsidRDefault="001466C5">
            <w:pPr>
              <w:ind w:left="0"/>
              <w:rPr>
                <w:rFonts w:ascii="Calibri" w:hAnsi="Calibri"/>
                <w:bCs/>
              </w:rPr>
            </w:pPr>
          </w:p>
        </w:tc>
        <w:tc>
          <w:tcPr>
            <w:tcW w:w="2614" w:type="dxa"/>
          </w:tcPr>
          <w:p w:rsidR="001466C5" w:rsidRPr="00DF30C4" w:rsidRDefault="001466C5">
            <w:pPr>
              <w:ind w:left="0"/>
              <w:rPr>
                <w:rFonts w:ascii="Calibri" w:hAnsi="Calibri"/>
                <w:bCs/>
              </w:rPr>
            </w:pPr>
          </w:p>
        </w:tc>
        <w:tc>
          <w:tcPr>
            <w:tcW w:w="4974" w:type="dxa"/>
          </w:tcPr>
          <w:p w:rsidR="001466C5" w:rsidRPr="00DF30C4" w:rsidRDefault="001466C5">
            <w:pPr>
              <w:ind w:left="0"/>
              <w:rPr>
                <w:rFonts w:ascii="Calibri" w:hAnsi="Calibri"/>
                <w:bCs/>
              </w:rPr>
            </w:pPr>
          </w:p>
        </w:tc>
      </w:tr>
    </w:tbl>
    <w:p w:rsidR="00C21AF9" w:rsidRPr="00DF30C4" w:rsidRDefault="00C21AF9">
      <w:pPr>
        <w:rPr>
          <w:rFonts w:ascii="Calibri" w:hAnsi="Calibri"/>
          <w:b/>
          <w:bCs/>
        </w:rPr>
      </w:pPr>
    </w:p>
    <w:p w:rsidR="00D66430" w:rsidRPr="00DF30C4" w:rsidRDefault="00D66430" w:rsidP="00D66430">
      <w:pPr>
        <w:autoSpaceDE w:val="0"/>
        <w:autoSpaceDN w:val="0"/>
        <w:adjustRightInd w:val="0"/>
        <w:spacing w:line="240" w:lineRule="auto"/>
        <w:ind w:left="0" w:right="0"/>
        <w:rPr>
          <w:rFonts w:ascii="Calibri" w:hAnsi="Calibri" w:cs="Calibri"/>
          <w:color w:val="000000"/>
        </w:rPr>
      </w:pPr>
    </w:p>
    <w:p w:rsidR="00D66430" w:rsidRPr="00DF30C4" w:rsidRDefault="00D66430" w:rsidP="00D66430">
      <w:pPr>
        <w:autoSpaceDE w:val="0"/>
        <w:autoSpaceDN w:val="0"/>
        <w:adjustRightInd w:val="0"/>
        <w:spacing w:line="240" w:lineRule="auto"/>
        <w:ind w:left="0" w:right="0"/>
        <w:jc w:val="center"/>
        <w:rPr>
          <w:rFonts w:ascii="Calibri" w:hAnsi="Calibri"/>
          <w:color w:val="000000" w:themeColor="text1"/>
        </w:rPr>
      </w:pPr>
      <w:r w:rsidRPr="00DF30C4">
        <w:rPr>
          <w:rFonts w:ascii="Calibri" w:hAnsi="Calibri"/>
          <w:color w:val="000000" w:themeColor="text1"/>
        </w:rPr>
        <w:t>This is a controlled document. The m</w:t>
      </w:r>
      <w:r w:rsidR="001F49E4" w:rsidRPr="00DF30C4">
        <w:rPr>
          <w:rFonts w:ascii="Calibri" w:hAnsi="Calibri"/>
          <w:color w:val="000000" w:themeColor="text1"/>
        </w:rPr>
        <w:t xml:space="preserve">aster document </w:t>
      </w:r>
      <w:proofErr w:type="gramStart"/>
      <w:r w:rsidR="001F49E4" w:rsidRPr="00DF30C4">
        <w:rPr>
          <w:rFonts w:ascii="Calibri" w:hAnsi="Calibri"/>
          <w:color w:val="000000" w:themeColor="text1"/>
        </w:rPr>
        <w:t>is posted</w:t>
      </w:r>
      <w:proofErr w:type="gramEnd"/>
      <w:r w:rsidR="001F49E4" w:rsidRPr="00DF30C4">
        <w:rPr>
          <w:rFonts w:ascii="Calibri" w:hAnsi="Calibri"/>
          <w:color w:val="000000" w:themeColor="text1"/>
        </w:rPr>
        <w:t xml:space="preserve"> on the RKE </w:t>
      </w:r>
      <w:r w:rsidRPr="00DF30C4">
        <w:rPr>
          <w:rFonts w:ascii="Calibri" w:hAnsi="Calibri"/>
          <w:color w:val="000000" w:themeColor="text1"/>
        </w:rPr>
        <w:t xml:space="preserve">website: </w:t>
      </w:r>
    </w:p>
    <w:p w:rsidR="00D66430" w:rsidRPr="00DF30C4" w:rsidRDefault="00D66430" w:rsidP="00D66430">
      <w:pPr>
        <w:autoSpaceDE w:val="0"/>
        <w:autoSpaceDN w:val="0"/>
        <w:adjustRightInd w:val="0"/>
        <w:spacing w:line="240" w:lineRule="auto"/>
        <w:ind w:left="0" w:right="0"/>
        <w:jc w:val="center"/>
        <w:rPr>
          <w:rFonts w:ascii="Calibri" w:hAnsi="Calibri"/>
          <w:color w:val="000000" w:themeColor="text1"/>
        </w:rPr>
      </w:pPr>
      <w:r w:rsidRPr="00DF30C4">
        <w:rPr>
          <w:rFonts w:ascii="Calibri" w:hAnsi="Calibri"/>
          <w:color w:val="000000" w:themeColor="text1"/>
        </w:rPr>
        <w:t>http://www2.mmu.ac.uk/research/research-governance/</w:t>
      </w:r>
    </w:p>
    <w:p w:rsidR="001466C5" w:rsidRPr="00DF30C4" w:rsidRDefault="00D66430" w:rsidP="00D66430">
      <w:pPr>
        <w:ind w:left="567" w:right="543"/>
        <w:jc w:val="center"/>
        <w:rPr>
          <w:rFonts w:ascii="Calibri" w:hAnsi="Calibri"/>
          <w:bCs/>
          <w:color w:val="000000" w:themeColor="text1"/>
        </w:rPr>
      </w:pPr>
      <w:r w:rsidRPr="00DF30C4">
        <w:rPr>
          <w:rFonts w:ascii="Calibri" w:hAnsi="Calibri"/>
          <w:bCs/>
          <w:color w:val="000000" w:themeColor="text1"/>
        </w:rPr>
        <w:t xml:space="preserve">Any print-off of this document </w:t>
      </w:r>
      <w:proofErr w:type="gramStart"/>
      <w:r w:rsidRPr="00DF30C4">
        <w:rPr>
          <w:rFonts w:ascii="Calibri" w:hAnsi="Calibri"/>
          <w:bCs/>
          <w:color w:val="000000" w:themeColor="text1"/>
        </w:rPr>
        <w:t>will be classed</w:t>
      </w:r>
      <w:proofErr w:type="gramEnd"/>
      <w:r w:rsidRPr="00DF30C4">
        <w:rPr>
          <w:rFonts w:ascii="Calibri" w:hAnsi="Calibri"/>
          <w:bCs/>
          <w:color w:val="000000" w:themeColor="text1"/>
        </w:rPr>
        <w:t xml:space="preserve"> as uncontrolled. </w:t>
      </w:r>
      <w:r w:rsidRPr="00DF30C4">
        <w:rPr>
          <w:rFonts w:ascii="Calibri" w:hAnsi="Calibri"/>
          <w:color w:val="000000" w:themeColor="text1"/>
        </w:rPr>
        <w:t>Researchers and their teams may print off this document for training and reference purposes but are responsible for regularly checking the RKE website for more recent versions.</w:t>
      </w:r>
      <w:r w:rsidRPr="00DF30C4">
        <w:rPr>
          <w:rFonts w:ascii="Calibri" w:hAnsi="Calibri" w:cs="Calibri"/>
          <w:color w:val="000000" w:themeColor="text1"/>
        </w:rPr>
        <w:t xml:space="preserve"> </w:t>
      </w:r>
      <w:r w:rsidR="001466C5" w:rsidRPr="00DF30C4">
        <w:rPr>
          <w:rFonts w:ascii="Calibri" w:hAnsi="Calibri"/>
          <w:bCs/>
          <w:color w:val="000000" w:themeColor="text1"/>
        </w:rPr>
        <w:br w:type="page"/>
      </w:r>
      <w:bookmarkStart w:id="0" w:name="_GoBack"/>
      <w:bookmarkEnd w:id="0"/>
    </w:p>
    <w:p w:rsidR="00C21AF9" w:rsidRPr="00DF30C4" w:rsidRDefault="00C21AF9" w:rsidP="00C21AF9">
      <w:pPr>
        <w:ind w:left="0"/>
        <w:rPr>
          <w:rFonts w:ascii="Calibri" w:hAnsi="Calibri"/>
          <w:b/>
          <w:bCs/>
        </w:rPr>
      </w:pPr>
    </w:p>
    <w:p w:rsidR="00C21AF9" w:rsidRPr="00DF30C4" w:rsidRDefault="00C21AF9" w:rsidP="00C21AF9">
      <w:pPr>
        <w:ind w:left="0"/>
        <w:rPr>
          <w:rFonts w:ascii="Calibri" w:hAnsi="Calibri"/>
          <w:b/>
          <w:bCs/>
          <w:color w:val="000000"/>
        </w:rPr>
      </w:pPr>
    </w:p>
    <w:p w:rsidR="005D3950" w:rsidRPr="00DF30C4" w:rsidRDefault="005D3950" w:rsidP="00D837C7">
      <w:pPr>
        <w:pStyle w:val="Default"/>
        <w:numPr>
          <w:ilvl w:val="0"/>
          <w:numId w:val="15"/>
        </w:numPr>
        <w:rPr>
          <w:rFonts w:ascii="Calibri" w:hAnsi="Calibri"/>
          <w:b/>
        </w:rPr>
      </w:pPr>
      <w:r w:rsidRPr="00DF30C4">
        <w:rPr>
          <w:rFonts w:ascii="Calibri" w:hAnsi="Calibri"/>
          <w:b/>
        </w:rPr>
        <w:t>Background</w:t>
      </w:r>
    </w:p>
    <w:p w:rsidR="00042A63" w:rsidRPr="00042A63" w:rsidRDefault="00042A63" w:rsidP="00042A63">
      <w:pPr>
        <w:autoSpaceDE w:val="0"/>
        <w:autoSpaceDN w:val="0"/>
        <w:adjustRightInd w:val="0"/>
        <w:spacing w:line="240" w:lineRule="auto"/>
        <w:ind w:left="0" w:right="0"/>
        <w:rPr>
          <w:rFonts w:ascii="Calibri" w:hAnsi="Calibri"/>
          <w:color w:val="000000"/>
        </w:rPr>
      </w:pPr>
      <w:r w:rsidRPr="00042A63">
        <w:rPr>
          <w:rFonts w:ascii="Calibri" w:hAnsi="Calibri"/>
          <w:color w:val="000000"/>
        </w:rPr>
        <w:t xml:space="preserve">A protocol that has received ethics approval (and </w:t>
      </w:r>
      <w:r w:rsidR="00D97982">
        <w:rPr>
          <w:rFonts w:ascii="Calibri" w:hAnsi="Calibri"/>
          <w:color w:val="000000"/>
        </w:rPr>
        <w:t xml:space="preserve">other </w:t>
      </w:r>
      <w:r w:rsidRPr="00042A63">
        <w:rPr>
          <w:rFonts w:ascii="Calibri" w:hAnsi="Calibri"/>
          <w:color w:val="000000"/>
        </w:rPr>
        <w:t xml:space="preserve">regulatory approval as applicable) is a formal document defining what can and cannot be done as part of a research project and must be adhered to so that participant safety and research integrity can be maintained. </w:t>
      </w:r>
      <w:r w:rsidR="00576DFB">
        <w:rPr>
          <w:rFonts w:ascii="Calibri" w:hAnsi="Calibri"/>
          <w:color w:val="000000"/>
        </w:rPr>
        <w:t xml:space="preserve"> </w:t>
      </w:r>
      <w:r w:rsidR="00576DFB" w:rsidRPr="00042A63">
        <w:rPr>
          <w:rFonts w:ascii="Calibri" w:hAnsi="Calibri"/>
          <w:color w:val="000000"/>
        </w:rPr>
        <w:t xml:space="preserve">Deviations from protocol can occur for a number of reasons and depending on the occurrence </w:t>
      </w:r>
      <w:proofErr w:type="gramStart"/>
      <w:r w:rsidR="00576DFB" w:rsidRPr="00042A63">
        <w:rPr>
          <w:rFonts w:ascii="Calibri" w:hAnsi="Calibri"/>
          <w:color w:val="000000"/>
        </w:rPr>
        <w:t xml:space="preserve">can </w:t>
      </w:r>
      <w:r w:rsidR="00576DFB">
        <w:rPr>
          <w:rFonts w:ascii="Calibri" w:hAnsi="Calibri"/>
          <w:color w:val="000000"/>
        </w:rPr>
        <w:t>be classed</w:t>
      </w:r>
      <w:proofErr w:type="gramEnd"/>
      <w:r w:rsidR="00576DFB" w:rsidRPr="00042A63">
        <w:rPr>
          <w:rFonts w:ascii="Calibri" w:hAnsi="Calibri"/>
          <w:color w:val="000000"/>
        </w:rPr>
        <w:t xml:space="preserve"> as </w:t>
      </w:r>
      <w:r w:rsidR="00576DFB">
        <w:rPr>
          <w:rFonts w:ascii="Calibri" w:hAnsi="Calibri"/>
          <w:color w:val="000000"/>
        </w:rPr>
        <w:t xml:space="preserve">a </w:t>
      </w:r>
      <w:r w:rsidR="00576DFB" w:rsidRPr="00042A63">
        <w:rPr>
          <w:rFonts w:ascii="Calibri" w:hAnsi="Calibri"/>
          <w:color w:val="000000"/>
        </w:rPr>
        <w:t xml:space="preserve">protocol deviation or </w:t>
      </w:r>
      <w:r w:rsidR="00576DFB">
        <w:rPr>
          <w:rFonts w:ascii="Calibri" w:hAnsi="Calibri"/>
          <w:color w:val="000000"/>
        </w:rPr>
        <w:t xml:space="preserve">a </w:t>
      </w:r>
      <w:r w:rsidR="00576DFB" w:rsidRPr="00042A63">
        <w:rPr>
          <w:rFonts w:ascii="Calibri" w:hAnsi="Calibri"/>
          <w:color w:val="000000"/>
        </w:rPr>
        <w:t>protocol violation.</w:t>
      </w:r>
      <w:r w:rsidR="00576DFB">
        <w:rPr>
          <w:rFonts w:ascii="Calibri" w:hAnsi="Calibri"/>
          <w:color w:val="000000"/>
        </w:rPr>
        <w:t xml:space="preserve">  </w:t>
      </w:r>
    </w:p>
    <w:p w:rsidR="00D97982" w:rsidRDefault="00D97982" w:rsidP="00042A63">
      <w:pPr>
        <w:autoSpaceDE w:val="0"/>
        <w:autoSpaceDN w:val="0"/>
        <w:adjustRightInd w:val="0"/>
        <w:spacing w:line="240" w:lineRule="auto"/>
        <w:ind w:left="0" w:right="0"/>
        <w:rPr>
          <w:rFonts w:ascii="Calibri" w:hAnsi="Calibri"/>
          <w:color w:val="000000"/>
        </w:rPr>
      </w:pPr>
    </w:p>
    <w:p w:rsidR="00576DFB" w:rsidRPr="00042A63" w:rsidRDefault="00042A63" w:rsidP="00576DFB">
      <w:pPr>
        <w:autoSpaceDE w:val="0"/>
        <w:autoSpaceDN w:val="0"/>
        <w:adjustRightInd w:val="0"/>
        <w:spacing w:line="240" w:lineRule="auto"/>
        <w:ind w:left="0" w:right="0"/>
        <w:rPr>
          <w:rFonts w:ascii="Calibri" w:hAnsi="Calibri"/>
          <w:color w:val="000000"/>
        </w:rPr>
      </w:pPr>
      <w:r w:rsidRPr="00042A63">
        <w:rPr>
          <w:rFonts w:ascii="Calibri" w:hAnsi="Calibri"/>
          <w:color w:val="000000"/>
        </w:rPr>
        <w:t xml:space="preserve">A protocol deviation occurs when a process or criteria has not been actioned in line with the approved protocol. For example, a study visit outside defined visit schedule, or a variation in the management of a participant due to minor safety concerns. Deviations are </w:t>
      </w:r>
      <w:proofErr w:type="gramStart"/>
      <w:r w:rsidRPr="00042A63">
        <w:rPr>
          <w:rFonts w:ascii="Calibri" w:hAnsi="Calibri"/>
          <w:color w:val="000000"/>
        </w:rPr>
        <w:t>occurrences which</w:t>
      </w:r>
      <w:proofErr w:type="gramEnd"/>
      <w:r w:rsidRPr="00042A63">
        <w:rPr>
          <w:rFonts w:ascii="Calibri" w:hAnsi="Calibri"/>
          <w:color w:val="000000"/>
        </w:rPr>
        <w:t xml:space="preserve"> can be classed as minor and not affect participant safety or the integrity of the research.</w:t>
      </w:r>
      <w:r w:rsidR="00576DFB" w:rsidRPr="00576DFB">
        <w:rPr>
          <w:rFonts w:ascii="Calibri" w:hAnsi="Calibri"/>
          <w:color w:val="000000"/>
        </w:rPr>
        <w:t xml:space="preserve"> </w:t>
      </w:r>
      <w:r w:rsidR="00576DFB">
        <w:rPr>
          <w:rFonts w:ascii="Calibri" w:hAnsi="Calibri"/>
          <w:color w:val="000000"/>
        </w:rPr>
        <w:t xml:space="preserve"> </w:t>
      </w:r>
      <w:r w:rsidR="00576DFB" w:rsidRPr="00042A63">
        <w:rPr>
          <w:rFonts w:ascii="Calibri" w:hAnsi="Calibri"/>
          <w:color w:val="000000"/>
        </w:rPr>
        <w:t>A protocol deviation may become a violation if it occurs on multiple occasions and/or affects multiple participants.</w:t>
      </w:r>
    </w:p>
    <w:p w:rsidR="00D97982" w:rsidRPr="00042A63" w:rsidRDefault="00D97982" w:rsidP="00042A63">
      <w:pPr>
        <w:autoSpaceDE w:val="0"/>
        <w:autoSpaceDN w:val="0"/>
        <w:adjustRightInd w:val="0"/>
        <w:spacing w:line="240" w:lineRule="auto"/>
        <w:ind w:left="0" w:right="0"/>
        <w:rPr>
          <w:rFonts w:ascii="Calibri" w:hAnsi="Calibri"/>
          <w:color w:val="000000"/>
        </w:rPr>
      </w:pPr>
    </w:p>
    <w:p w:rsidR="000C1E4F" w:rsidRDefault="00042A63" w:rsidP="00042A63">
      <w:pPr>
        <w:autoSpaceDE w:val="0"/>
        <w:autoSpaceDN w:val="0"/>
        <w:adjustRightInd w:val="0"/>
        <w:spacing w:line="240" w:lineRule="auto"/>
        <w:ind w:left="0" w:right="0"/>
        <w:rPr>
          <w:rFonts w:ascii="Calibri" w:hAnsi="Calibri"/>
          <w:color w:val="000000"/>
        </w:rPr>
      </w:pPr>
      <w:r w:rsidRPr="00042A63">
        <w:rPr>
          <w:rFonts w:ascii="Calibri" w:hAnsi="Calibri"/>
          <w:color w:val="000000"/>
        </w:rPr>
        <w:t xml:space="preserve">A protocol violation is a significant occurrence or </w:t>
      </w:r>
      <w:proofErr w:type="gramStart"/>
      <w:r w:rsidRPr="00042A63">
        <w:rPr>
          <w:rFonts w:ascii="Calibri" w:hAnsi="Calibri"/>
          <w:color w:val="000000"/>
        </w:rPr>
        <w:t>event which</w:t>
      </w:r>
      <w:proofErr w:type="gramEnd"/>
      <w:r w:rsidRPr="00042A63">
        <w:rPr>
          <w:rFonts w:ascii="Calibri" w:hAnsi="Calibri"/>
          <w:color w:val="000000"/>
        </w:rPr>
        <w:t xml:space="preserve"> may affect participant safety or the integrity of the research</w:t>
      </w:r>
      <w:r w:rsidR="00810E70">
        <w:rPr>
          <w:rFonts w:ascii="Calibri" w:hAnsi="Calibri"/>
          <w:color w:val="000000"/>
        </w:rPr>
        <w:t>, or a consistent variation in practice from the defined protocol</w:t>
      </w:r>
      <w:r w:rsidR="000C1E4F">
        <w:rPr>
          <w:rFonts w:ascii="Calibri" w:hAnsi="Calibri"/>
          <w:color w:val="000000"/>
        </w:rPr>
        <w:t xml:space="preserve">.  </w:t>
      </w:r>
      <w:r w:rsidRPr="00042A63">
        <w:rPr>
          <w:rFonts w:ascii="Calibri" w:hAnsi="Calibri"/>
          <w:color w:val="000000"/>
        </w:rPr>
        <w:t xml:space="preserve">Non-compliance with the inclusion and exclusion criteria </w:t>
      </w:r>
      <w:proofErr w:type="gramStart"/>
      <w:r w:rsidRPr="00042A63">
        <w:rPr>
          <w:rFonts w:ascii="Calibri" w:hAnsi="Calibri"/>
          <w:color w:val="000000"/>
        </w:rPr>
        <w:t>is always classed</w:t>
      </w:r>
      <w:proofErr w:type="gramEnd"/>
      <w:r w:rsidRPr="00042A63">
        <w:rPr>
          <w:rFonts w:ascii="Calibri" w:hAnsi="Calibri"/>
          <w:color w:val="000000"/>
        </w:rPr>
        <w:t xml:space="preserve"> as a significant protocol violation regardless of how minor the deviation appears to be, as these criteria define the participant group in relation to the scientific requirements of the protocol.</w:t>
      </w:r>
    </w:p>
    <w:p w:rsidR="000C1E4F" w:rsidRDefault="000C1E4F" w:rsidP="00042A63">
      <w:pPr>
        <w:autoSpaceDE w:val="0"/>
        <w:autoSpaceDN w:val="0"/>
        <w:adjustRightInd w:val="0"/>
        <w:spacing w:line="240" w:lineRule="auto"/>
        <w:ind w:left="0" w:right="0"/>
        <w:rPr>
          <w:rFonts w:ascii="Calibri" w:hAnsi="Calibri"/>
          <w:color w:val="000000"/>
        </w:rPr>
      </w:pPr>
    </w:p>
    <w:p w:rsidR="003A482C" w:rsidRPr="00394369" w:rsidRDefault="00390364" w:rsidP="003A482C">
      <w:pPr>
        <w:autoSpaceDE w:val="0"/>
        <w:autoSpaceDN w:val="0"/>
        <w:adjustRightInd w:val="0"/>
        <w:spacing w:line="240" w:lineRule="auto"/>
        <w:ind w:left="0" w:right="0"/>
        <w:rPr>
          <w:rFonts w:ascii="Calibri" w:hAnsi="Calibri"/>
          <w:color w:val="000000"/>
        </w:rPr>
      </w:pPr>
      <w:r w:rsidRPr="00390364">
        <w:rPr>
          <w:rFonts w:ascii="Calibri" w:hAnsi="Calibri"/>
          <w:color w:val="000000"/>
        </w:rPr>
        <w:t xml:space="preserve">An adverse event [AE] </w:t>
      </w:r>
      <w:proofErr w:type="gramStart"/>
      <w:r w:rsidRPr="00390364">
        <w:rPr>
          <w:rFonts w:ascii="Calibri" w:hAnsi="Calibri"/>
          <w:color w:val="000000"/>
        </w:rPr>
        <w:t>is commonly defined</w:t>
      </w:r>
      <w:proofErr w:type="gramEnd"/>
      <w:r w:rsidRPr="00390364">
        <w:rPr>
          <w:rFonts w:ascii="Calibri" w:hAnsi="Calibri"/>
          <w:color w:val="000000"/>
        </w:rPr>
        <w:t xml:space="preserve"> as an untoward medical occurrence in a research participant who has been administered any research procedure.</w:t>
      </w:r>
      <w:r w:rsidR="003A482C">
        <w:rPr>
          <w:rFonts w:ascii="Calibri" w:hAnsi="Calibri"/>
          <w:color w:val="000000"/>
        </w:rPr>
        <w:t xml:space="preserve">  A </w:t>
      </w:r>
      <w:r w:rsidR="003A482C" w:rsidRPr="00394369">
        <w:rPr>
          <w:rFonts w:ascii="Calibri" w:hAnsi="Calibri"/>
          <w:color w:val="000000"/>
        </w:rPr>
        <w:t>Serious Adverse Event (SAE)</w:t>
      </w:r>
      <w:r w:rsidR="003A482C">
        <w:rPr>
          <w:rFonts w:ascii="Calibri" w:hAnsi="Calibri"/>
          <w:color w:val="000000"/>
        </w:rPr>
        <w:t xml:space="preserve"> is</w:t>
      </w:r>
      <w:r w:rsidR="003A482C" w:rsidRPr="00394369">
        <w:rPr>
          <w:rFonts w:ascii="Calibri" w:hAnsi="Calibri"/>
          <w:color w:val="000000"/>
        </w:rPr>
        <w:t xml:space="preserve"> any untoward and unexpected medical occurrence or effect that:</w:t>
      </w:r>
    </w:p>
    <w:p w:rsidR="003A482C" w:rsidRPr="003A482C" w:rsidRDefault="003A482C" w:rsidP="003A482C">
      <w:pPr>
        <w:pStyle w:val="ListParagraph"/>
        <w:numPr>
          <w:ilvl w:val="0"/>
          <w:numId w:val="26"/>
        </w:numPr>
        <w:autoSpaceDE w:val="0"/>
        <w:autoSpaceDN w:val="0"/>
        <w:adjustRightInd w:val="0"/>
        <w:spacing w:line="240" w:lineRule="auto"/>
        <w:ind w:right="0"/>
        <w:rPr>
          <w:rFonts w:ascii="Calibri" w:hAnsi="Calibri"/>
          <w:color w:val="000000"/>
        </w:rPr>
      </w:pPr>
      <w:r w:rsidRPr="003A482C">
        <w:rPr>
          <w:rFonts w:ascii="Calibri" w:hAnsi="Calibri"/>
          <w:color w:val="000000"/>
        </w:rPr>
        <w:t>Results in death</w:t>
      </w:r>
    </w:p>
    <w:p w:rsidR="003A482C" w:rsidRPr="003A482C" w:rsidRDefault="003A482C" w:rsidP="003A482C">
      <w:pPr>
        <w:pStyle w:val="ListParagraph"/>
        <w:numPr>
          <w:ilvl w:val="0"/>
          <w:numId w:val="26"/>
        </w:numPr>
        <w:autoSpaceDE w:val="0"/>
        <w:autoSpaceDN w:val="0"/>
        <w:adjustRightInd w:val="0"/>
        <w:spacing w:line="240" w:lineRule="auto"/>
        <w:ind w:right="0"/>
        <w:rPr>
          <w:rFonts w:ascii="Calibri" w:hAnsi="Calibri"/>
          <w:color w:val="000000"/>
        </w:rPr>
      </w:pPr>
      <w:r w:rsidRPr="003A482C">
        <w:rPr>
          <w:rFonts w:ascii="Calibri" w:hAnsi="Calibri"/>
          <w:color w:val="000000"/>
        </w:rPr>
        <w:t>Is life-threatening – refers to an event in which the subject was at risk of death at the time of the event; it does not refer to an event which hypothetically might have caused death if it were more severe</w:t>
      </w:r>
    </w:p>
    <w:p w:rsidR="003A482C" w:rsidRPr="003A482C" w:rsidRDefault="003A482C" w:rsidP="003A482C">
      <w:pPr>
        <w:pStyle w:val="ListParagraph"/>
        <w:numPr>
          <w:ilvl w:val="0"/>
          <w:numId w:val="26"/>
        </w:numPr>
        <w:autoSpaceDE w:val="0"/>
        <w:autoSpaceDN w:val="0"/>
        <w:adjustRightInd w:val="0"/>
        <w:spacing w:line="240" w:lineRule="auto"/>
        <w:ind w:right="0"/>
        <w:rPr>
          <w:rFonts w:ascii="Calibri" w:hAnsi="Calibri"/>
          <w:color w:val="000000"/>
        </w:rPr>
      </w:pPr>
      <w:r w:rsidRPr="003A482C">
        <w:rPr>
          <w:rFonts w:ascii="Calibri" w:hAnsi="Calibri"/>
          <w:color w:val="000000"/>
        </w:rPr>
        <w:t>Requires hospitalisation, or prolongation of existing inpatients’ hospitalisation</w:t>
      </w:r>
    </w:p>
    <w:p w:rsidR="003A482C" w:rsidRPr="003A482C" w:rsidRDefault="003A482C" w:rsidP="003A482C">
      <w:pPr>
        <w:pStyle w:val="ListParagraph"/>
        <w:numPr>
          <w:ilvl w:val="0"/>
          <w:numId w:val="26"/>
        </w:numPr>
        <w:autoSpaceDE w:val="0"/>
        <w:autoSpaceDN w:val="0"/>
        <w:adjustRightInd w:val="0"/>
        <w:spacing w:line="240" w:lineRule="auto"/>
        <w:ind w:right="0"/>
        <w:rPr>
          <w:rFonts w:ascii="Calibri" w:hAnsi="Calibri"/>
          <w:color w:val="000000"/>
        </w:rPr>
      </w:pPr>
      <w:r w:rsidRPr="003A482C">
        <w:rPr>
          <w:rFonts w:ascii="Calibri" w:hAnsi="Calibri"/>
          <w:color w:val="000000"/>
        </w:rPr>
        <w:t>Results in persistent or significant disability or incapacity</w:t>
      </w:r>
    </w:p>
    <w:p w:rsidR="003A482C" w:rsidRPr="003A482C" w:rsidRDefault="003A482C" w:rsidP="003A482C">
      <w:pPr>
        <w:pStyle w:val="ListParagraph"/>
        <w:numPr>
          <w:ilvl w:val="0"/>
          <w:numId w:val="26"/>
        </w:numPr>
        <w:autoSpaceDE w:val="0"/>
        <w:autoSpaceDN w:val="0"/>
        <w:adjustRightInd w:val="0"/>
        <w:spacing w:line="240" w:lineRule="auto"/>
        <w:ind w:right="0"/>
        <w:rPr>
          <w:rFonts w:ascii="Calibri" w:hAnsi="Calibri"/>
          <w:color w:val="000000"/>
        </w:rPr>
      </w:pPr>
      <w:r w:rsidRPr="003A482C">
        <w:rPr>
          <w:rFonts w:ascii="Calibri" w:hAnsi="Calibri"/>
          <w:color w:val="000000"/>
        </w:rPr>
        <w:t>Is a congenital anomaly or birth defect</w:t>
      </w:r>
    </w:p>
    <w:p w:rsidR="003A482C" w:rsidRDefault="003A482C" w:rsidP="003A482C">
      <w:pPr>
        <w:autoSpaceDE w:val="0"/>
        <w:autoSpaceDN w:val="0"/>
        <w:adjustRightInd w:val="0"/>
        <w:spacing w:line="240" w:lineRule="auto"/>
        <w:ind w:left="0" w:right="0"/>
        <w:rPr>
          <w:rFonts w:ascii="Calibri" w:hAnsi="Calibri"/>
          <w:color w:val="000000"/>
        </w:rPr>
      </w:pPr>
    </w:p>
    <w:p w:rsidR="00390364" w:rsidRPr="003A482C" w:rsidRDefault="003A482C" w:rsidP="00042A63">
      <w:pPr>
        <w:autoSpaceDE w:val="0"/>
        <w:autoSpaceDN w:val="0"/>
        <w:adjustRightInd w:val="0"/>
        <w:spacing w:line="240" w:lineRule="auto"/>
        <w:ind w:left="0" w:right="0"/>
        <w:rPr>
          <w:rFonts w:ascii="Calibri" w:hAnsi="Calibri"/>
          <w:color w:val="000000"/>
        </w:rPr>
      </w:pPr>
      <w:r w:rsidRPr="00394369">
        <w:rPr>
          <w:rFonts w:ascii="Calibri" w:hAnsi="Calibri"/>
          <w:color w:val="000000"/>
        </w:rPr>
        <w:t xml:space="preserve">Medical judgement </w:t>
      </w:r>
      <w:proofErr w:type="gramStart"/>
      <w:r w:rsidRPr="00394369">
        <w:rPr>
          <w:rFonts w:ascii="Calibri" w:hAnsi="Calibri"/>
          <w:color w:val="000000"/>
        </w:rPr>
        <w:t>should be exercised</w:t>
      </w:r>
      <w:proofErr w:type="gramEnd"/>
      <w:r w:rsidRPr="00394369">
        <w:rPr>
          <w:rFonts w:ascii="Calibri" w:hAnsi="Calibri"/>
          <w:color w:val="000000"/>
        </w:rPr>
        <w:t xml:space="preserve"> in deciding whether an AE is serious in other situations. Important AEs that are not immediately </w:t>
      </w:r>
      <w:proofErr w:type="gramStart"/>
      <w:r w:rsidRPr="00394369">
        <w:rPr>
          <w:rFonts w:ascii="Calibri" w:hAnsi="Calibri"/>
          <w:color w:val="000000"/>
        </w:rPr>
        <w:t>life-threatening</w:t>
      </w:r>
      <w:proofErr w:type="gramEnd"/>
      <w:r w:rsidRPr="00394369">
        <w:rPr>
          <w:rFonts w:ascii="Calibri" w:hAnsi="Calibri"/>
          <w:color w:val="000000"/>
        </w:rPr>
        <w:t xml:space="preserve"> or do not result in death or hospitalisation but may jeopardise the subject or may require intervention to prevent one of the other outcomes listed in the definition above, sho</w:t>
      </w:r>
      <w:r>
        <w:rPr>
          <w:rFonts w:ascii="Calibri" w:hAnsi="Calibri"/>
          <w:color w:val="000000"/>
        </w:rPr>
        <w:t xml:space="preserve">uld also be considered serious.  </w:t>
      </w:r>
      <w:r w:rsidR="00390364" w:rsidRPr="00390364">
        <w:rPr>
          <w:rFonts w:ascii="Calibri" w:hAnsi="Calibri"/>
        </w:rPr>
        <w:t xml:space="preserve">To be compliant with </w:t>
      </w:r>
      <w:r>
        <w:rPr>
          <w:rFonts w:ascii="Calibri" w:hAnsi="Calibri"/>
        </w:rPr>
        <w:t xml:space="preserve">the </w:t>
      </w:r>
      <w:r w:rsidR="00390364" w:rsidRPr="00390364">
        <w:rPr>
          <w:rFonts w:ascii="Calibri" w:hAnsi="Calibri"/>
        </w:rPr>
        <w:t>Research Governance Framework (RGF), and the Medical Devices Regulations 2002, sponsors of clinical studies have a responsibility to record and report SAEs.</w:t>
      </w:r>
    </w:p>
    <w:p w:rsidR="003A482C" w:rsidRDefault="003A482C" w:rsidP="00D837C7">
      <w:pPr>
        <w:pStyle w:val="Default"/>
        <w:rPr>
          <w:rFonts w:ascii="Calibri" w:hAnsi="Calibri"/>
        </w:rPr>
      </w:pPr>
    </w:p>
    <w:p w:rsidR="00A76975" w:rsidRPr="00DF30C4" w:rsidRDefault="00A76975" w:rsidP="00D837C7">
      <w:pPr>
        <w:pStyle w:val="Default"/>
        <w:numPr>
          <w:ilvl w:val="0"/>
          <w:numId w:val="15"/>
        </w:numPr>
        <w:rPr>
          <w:rFonts w:ascii="Calibri" w:hAnsi="Calibri"/>
          <w:b/>
        </w:rPr>
      </w:pPr>
      <w:r w:rsidRPr="00DF30C4">
        <w:rPr>
          <w:rFonts w:ascii="Calibri" w:hAnsi="Calibri"/>
          <w:b/>
          <w:bCs/>
        </w:rPr>
        <w:t xml:space="preserve">Purpose </w:t>
      </w:r>
    </w:p>
    <w:p w:rsidR="00390364" w:rsidRDefault="00394369" w:rsidP="00A76975">
      <w:pPr>
        <w:pStyle w:val="Default"/>
        <w:rPr>
          <w:rFonts w:ascii="Calibri" w:hAnsi="Calibri"/>
        </w:rPr>
      </w:pPr>
      <w:r w:rsidRPr="0070212A">
        <w:rPr>
          <w:rFonts w:asciiTheme="minorHAnsi" w:hAnsiTheme="minorHAnsi"/>
        </w:rPr>
        <w:t>This Standard Operating Procedure (SOP) describes the process</w:t>
      </w:r>
      <w:r>
        <w:rPr>
          <w:rFonts w:asciiTheme="minorHAnsi" w:hAnsiTheme="minorHAnsi"/>
        </w:rPr>
        <w:t>es</w:t>
      </w:r>
      <w:r w:rsidRPr="0070212A">
        <w:rPr>
          <w:rFonts w:asciiTheme="minorHAnsi" w:hAnsiTheme="minorHAnsi"/>
        </w:rPr>
        <w:t xml:space="preserve"> </w:t>
      </w:r>
      <w:r w:rsidR="00390364" w:rsidRPr="00390364">
        <w:rPr>
          <w:rFonts w:ascii="Calibri" w:hAnsi="Calibri"/>
        </w:rPr>
        <w:t xml:space="preserve">for </w:t>
      </w:r>
      <w:r w:rsidR="00D97982">
        <w:rPr>
          <w:rFonts w:ascii="Calibri" w:hAnsi="Calibri"/>
        </w:rPr>
        <w:t>handling protocol deviations</w:t>
      </w:r>
      <w:r>
        <w:rPr>
          <w:rFonts w:ascii="Calibri" w:hAnsi="Calibri"/>
        </w:rPr>
        <w:t xml:space="preserve">, </w:t>
      </w:r>
      <w:r w:rsidR="00D97982">
        <w:rPr>
          <w:rFonts w:ascii="Calibri" w:hAnsi="Calibri"/>
        </w:rPr>
        <w:t>p</w:t>
      </w:r>
      <w:r>
        <w:rPr>
          <w:rFonts w:ascii="Calibri" w:hAnsi="Calibri"/>
        </w:rPr>
        <w:t xml:space="preserve">rotocol </w:t>
      </w:r>
      <w:r w:rsidR="00D97982">
        <w:rPr>
          <w:rFonts w:ascii="Calibri" w:hAnsi="Calibri"/>
        </w:rPr>
        <w:t>v</w:t>
      </w:r>
      <w:r>
        <w:rPr>
          <w:rFonts w:ascii="Calibri" w:hAnsi="Calibri"/>
        </w:rPr>
        <w:t xml:space="preserve">iolations and Adverse Event </w:t>
      </w:r>
      <w:r w:rsidR="00D97982">
        <w:rPr>
          <w:rFonts w:ascii="Calibri" w:hAnsi="Calibri"/>
        </w:rPr>
        <w:t>r</w:t>
      </w:r>
      <w:r>
        <w:rPr>
          <w:rFonts w:ascii="Calibri" w:hAnsi="Calibri"/>
        </w:rPr>
        <w:t xml:space="preserve">eporting.  </w:t>
      </w:r>
      <w:r w:rsidR="00A370BF">
        <w:rPr>
          <w:rFonts w:ascii="Calibri" w:hAnsi="Calibri"/>
        </w:rPr>
        <w:t xml:space="preserve">It is applicable to all </w:t>
      </w:r>
      <w:r w:rsidR="00B63CA2">
        <w:rPr>
          <w:rFonts w:ascii="Calibri" w:hAnsi="Calibri"/>
        </w:rPr>
        <w:t xml:space="preserve">interventional </w:t>
      </w:r>
      <w:r w:rsidR="00576DFB">
        <w:rPr>
          <w:rFonts w:ascii="Calibri" w:hAnsi="Calibri"/>
        </w:rPr>
        <w:t xml:space="preserve">research projects involving </w:t>
      </w:r>
      <w:r w:rsidR="000E16B5">
        <w:rPr>
          <w:rFonts w:ascii="Calibri" w:hAnsi="Calibri"/>
        </w:rPr>
        <w:t xml:space="preserve">human </w:t>
      </w:r>
      <w:r w:rsidR="00576DFB">
        <w:rPr>
          <w:rFonts w:ascii="Calibri" w:hAnsi="Calibri"/>
        </w:rPr>
        <w:t>participants.</w:t>
      </w:r>
    </w:p>
    <w:p w:rsidR="00394369" w:rsidRPr="00390364" w:rsidRDefault="00394369" w:rsidP="00A76975">
      <w:pPr>
        <w:pStyle w:val="Default"/>
        <w:rPr>
          <w:rFonts w:ascii="Calibri" w:hAnsi="Calibri"/>
        </w:rPr>
      </w:pPr>
    </w:p>
    <w:p w:rsidR="00C21AF9" w:rsidRPr="00390364" w:rsidRDefault="00C21AF9" w:rsidP="00D837C7">
      <w:pPr>
        <w:pStyle w:val="ListParagraph"/>
        <w:numPr>
          <w:ilvl w:val="0"/>
          <w:numId w:val="15"/>
        </w:numPr>
        <w:autoSpaceDE w:val="0"/>
        <w:autoSpaceDN w:val="0"/>
        <w:adjustRightInd w:val="0"/>
        <w:spacing w:line="240" w:lineRule="auto"/>
        <w:ind w:right="0"/>
        <w:rPr>
          <w:rFonts w:ascii="Calibri" w:hAnsi="Calibri"/>
          <w:color w:val="000000"/>
        </w:rPr>
      </w:pPr>
      <w:r w:rsidRPr="00D837C7">
        <w:rPr>
          <w:rFonts w:ascii="Calibri" w:hAnsi="Calibri"/>
          <w:b/>
          <w:bCs/>
          <w:color w:val="000000"/>
        </w:rPr>
        <w:t xml:space="preserve">Procedure </w:t>
      </w:r>
    </w:p>
    <w:p w:rsidR="00394369" w:rsidRPr="00394369" w:rsidRDefault="00394369" w:rsidP="00394369">
      <w:pPr>
        <w:pStyle w:val="ListParagraph"/>
        <w:numPr>
          <w:ilvl w:val="1"/>
          <w:numId w:val="15"/>
        </w:numPr>
        <w:autoSpaceDE w:val="0"/>
        <w:autoSpaceDN w:val="0"/>
        <w:adjustRightInd w:val="0"/>
        <w:spacing w:line="240" w:lineRule="auto"/>
        <w:ind w:right="0"/>
        <w:rPr>
          <w:rFonts w:ascii="Calibri" w:hAnsi="Calibri"/>
          <w:b/>
          <w:bCs/>
          <w:color w:val="000000"/>
        </w:rPr>
      </w:pPr>
      <w:r w:rsidRPr="00394369">
        <w:rPr>
          <w:rFonts w:ascii="Calibri" w:hAnsi="Calibri"/>
          <w:b/>
          <w:bCs/>
          <w:color w:val="000000"/>
        </w:rPr>
        <w:t>Protocol Deviations</w:t>
      </w:r>
    </w:p>
    <w:p w:rsidR="00D97982" w:rsidRDefault="00D97982" w:rsidP="00D97982">
      <w:pPr>
        <w:pStyle w:val="Default"/>
        <w:rPr>
          <w:rFonts w:ascii="Calibri" w:hAnsi="Calibri"/>
        </w:rPr>
      </w:pPr>
      <w:r w:rsidRPr="00D97982">
        <w:rPr>
          <w:rFonts w:ascii="Calibri" w:hAnsi="Calibri"/>
        </w:rPr>
        <w:t>The Chief Investigator</w:t>
      </w:r>
      <w:r w:rsidR="00576DFB">
        <w:rPr>
          <w:rFonts w:ascii="Calibri" w:hAnsi="Calibri"/>
        </w:rPr>
        <w:t xml:space="preserve"> (CI)</w:t>
      </w:r>
      <w:r w:rsidRPr="00D97982">
        <w:rPr>
          <w:rFonts w:ascii="Calibri" w:hAnsi="Calibri"/>
        </w:rPr>
        <w:t xml:space="preserve"> of a research project is responsible for ensuring there appropriate oversight systems in place to monitor research activity and identify any deviations from the study protocol. </w:t>
      </w:r>
    </w:p>
    <w:p w:rsidR="00065649" w:rsidRDefault="00065649" w:rsidP="00D97982">
      <w:pPr>
        <w:pStyle w:val="Default"/>
        <w:rPr>
          <w:rFonts w:ascii="Calibri" w:hAnsi="Calibri"/>
        </w:rPr>
      </w:pPr>
    </w:p>
    <w:p w:rsidR="00D97982" w:rsidRDefault="00D97982" w:rsidP="00D97982">
      <w:pPr>
        <w:pStyle w:val="Default"/>
        <w:rPr>
          <w:rFonts w:ascii="Calibri" w:hAnsi="Calibri"/>
        </w:rPr>
      </w:pPr>
    </w:p>
    <w:p w:rsidR="00394369" w:rsidRPr="00D97982" w:rsidRDefault="00116EAA" w:rsidP="00D97982">
      <w:pPr>
        <w:pStyle w:val="Default"/>
        <w:rPr>
          <w:rFonts w:ascii="Calibri" w:hAnsi="Calibri"/>
        </w:rPr>
      </w:pPr>
      <w:r>
        <w:rPr>
          <w:rFonts w:ascii="Calibri" w:hAnsi="Calibri"/>
        </w:rPr>
        <w:lastRenderedPageBreak/>
        <w:t xml:space="preserve">When a protocol deviation </w:t>
      </w:r>
      <w:proofErr w:type="gramStart"/>
      <w:r>
        <w:rPr>
          <w:rFonts w:ascii="Calibri" w:hAnsi="Calibri"/>
        </w:rPr>
        <w:t xml:space="preserve">is </w:t>
      </w:r>
      <w:r w:rsidR="00D97982" w:rsidRPr="00D97982">
        <w:rPr>
          <w:rFonts w:ascii="Calibri" w:hAnsi="Calibri"/>
        </w:rPr>
        <w:t>identified</w:t>
      </w:r>
      <w:proofErr w:type="gramEnd"/>
      <w:r>
        <w:rPr>
          <w:rFonts w:ascii="Calibri" w:hAnsi="Calibri"/>
        </w:rPr>
        <w:t xml:space="preserve">, the CI must review it </w:t>
      </w:r>
      <w:r w:rsidR="00D97982" w:rsidRPr="00D97982">
        <w:rPr>
          <w:rFonts w:ascii="Calibri" w:hAnsi="Calibri"/>
        </w:rPr>
        <w:t xml:space="preserve">to assess whether participant safety or study integrity has been affected. </w:t>
      </w:r>
      <w:r w:rsidR="00D51BB7">
        <w:rPr>
          <w:rFonts w:ascii="Calibri" w:hAnsi="Calibri"/>
        </w:rPr>
        <w:t xml:space="preserve"> </w:t>
      </w:r>
      <w:r>
        <w:rPr>
          <w:rFonts w:ascii="Calibri" w:hAnsi="Calibri"/>
        </w:rPr>
        <w:t xml:space="preserve">If the </w:t>
      </w:r>
      <w:r w:rsidR="00D97982" w:rsidRPr="00D97982">
        <w:rPr>
          <w:rFonts w:ascii="Calibri" w:hAnsi="Calibri"/>
        </w:rPr>
        <w:t xml:space="preserve">deviation </w:t>
      </w:r>
      <w:r>
        <w:rPr>
          <w:rFonts w:ascii="Calibri" w:hAnsi="Calibri"/>
        </w:rPr>
        <w:t>did not impact</w:t>
      </w:r>
      <w:r w:rsidR="00D97982" w:rsidRPr="00D97982">
        <w:rPr>
          <w:rFonts w:ascii="Calibri" w:hAnsi="Calibri"/>
        </w:rPr>
        <w:t xml:space="preserve"> on safety or research integrity, a </w:t>
      </w:r>
      <w:hyperlink r:id="rId9" w:history="1">
        <w:r w:rsidR="00716228" w:rsidRPr="00716228">
          <w:rPr>
            <w:rStyle w:val="Hyperlink"/>
            <w:rFonts w:ascii="Calibri" w:hAnsi="Calibri"/>
          </w:rPr>
          <w:t>File Note</w:t>
        </w:r>
      </w:hyperlink>
      <w:r w:rsidR="00D97982" w:rsidRPr="00D97982">
        <w:rPr>
          <w:rFonts w:ascii="Calibri" w:hAnsi="Calibri"/>
        </w:rPr>
        <w:t xml:space="preserve"> should be added to the </w:t>
      </w:r>
      <w:r w:rsidR="00576DFB">
        <w:rPr>
          <w:rFonts w:ascii="Calibri" w:hAnsi="Calibri"/>
        </w:rPr>
        <w:t>Study</w:t>
      </w:r>
      <w:r w:rsidR="00D97982" w:rsidRPr="00D97982">
        <w:rPr>
          <w:rFonts w:ascii="Calibri" w:hAnsi="Calibri"/>
        </w:rPr>
        <w:t xml:space="preserve"> Master File</w:t>
      </w:r>
      <w:r w:rsidR="00576DFB">
        <w:rPr>
          <w:rFonts w:ascii="Calibri" w:hAnsi="Calibri"/>
        </w:rPr>
        <w:t xml:space="preserve"> and/or CRF and patients medical notes (where applicable)</w:t>
      </w:r>
      <w:r w:rsidR="00D97982" w:rsidRPr="00D97982">
        <w:rPr>
          <w:rFonts w:ascii="Calibri" w:hAnsi="Calibri"/>
        </w:rPr>
        <w:t xml:space="preserve"> explaining the actio</w:t>
      </w:r>
      <w:r w:rsidR="00D97982">
        <w:rPr>
          <w:rFonts w:ascii="Calibri" w:hAnsi="Calibri"/>
        </w:rPr>
        <w:t xml:space="preserve">n taken and its justification.  </w:t>
      </w:r>
      <w:r w:rsidR="00D97982" w:rsidRPr="00D97982">
        <w:rPr>
          <w:rFonts w:ascii="Calibri" w:hAnsi="Calibri"/>
        </w:rPr>
        <w:t xml:space="preserve">If the CI is </w:t>
      </w:r>
      <w:proofErr w:type="gramStart"/>
      <w:r w:rsidR="00D97982" w:rsidRPr="00D97982">
        <w:rPr>
          <w:rFonts w:ascii="Calibri" w:hAnsi="Calibri"/>
        </w:rPr>
        <w:t>unsure</w:t>
      </w:r>
      <w:proofErr w:type="gramEnd"/>
      <w:r w:rsidR="00D97982" w:rsidRPr="00D97982">
        <w:rPr>
          <w:rFonts w:ascii="Calibri" w:hAnsi="Calibri"/>
        </w:rPr>
        <w:t xml:space="preserve"> whether an occurrence is a deviation or violation they should seek advice from the </w:t>
      </w:r>
      <w:r w:rsidR="007F2339">
        <w:rPr>
          <w:rFonts w:ascii="Calibri" w:hAnsi="Calibri"/>
        </w:rPr>
        <w:t>RKE office</w:t>
      </w:r>
      <w:r w:rsidR="00D97982" w:rsidRPr="00D97982">
        <w:rPr>
          <w:rFonts w:ascii="Calibri" w:hAnsi="Calibri"/>
        </w:rPr>
        <w:t xml:space="preserve"> to ensure appropriate action is taken.</w:t>
      </w:r>
    </w:p>
    <w:p w:rsidR="00D97982" w:rsidRDefault="00D97982" w:rsidP="00D97982">
      <w:pPr>
        <w:autoSpaceDE w:val="0"/>
        <w:autoSpaceDN w:val="0"/>
        <w:adjustRightInd w:val="0"/>
        <w:spacing w:line="240" w:lineRule="auto"/>
        <w:ind w:left="0" w:right="0"/>
        <w:rPr>
          <w:rFonts w:ascii="Calibri" w:hAnsi="Calibri"/>
          <w:b/>
          <w:bCs/>
          <w:color w:val="000000"/>
        </w:rPr>
      </w:pPr>
    </w:p>
    <w:p w:rsidR="00394369" w:rsidRPr="00394369" w:rsidRDefault="00394369" w:rsidP="00394369">
      <w:pPr>
        <w:pStyle w:val="ListParagraph"/>
        <w:numPr>
          <w:ilvl w:val="1"/>
          <w:numId w:val="15"/>
        </w:numPr>
        <w:autoSpaceDE w:val="0"/>
        <w:autoSpaceDN w:val="0"/>
        <w:adjustRightInd w:val="0"/>
        <w:spacing w:line="240" w:lineRule="auto"/>
        <w:ind w:right="0"/>
        <w:rPr>
          <w:rFonts w:ascii="Calibri" w:hAnsi="Calibri"/>
          <w:b/>
          <w:bCs/>
          <w:color w:val="000000"/>
        </w:rPr>
      </w:pPr>
      <w:r w:rsidRPr="00394369">
        <w:rPr>
          <w:rFonts w:ascii="Calibri" w:hAnsi="Calibri"/>
          <w:b/>
          <w:bCs/>
          <w:color w:val="000000"/>
        </w:rPr>
        <w:t>Protocol Violations</w:t>
      </w:r>
    </w:p>
    <w:p w:rsidR="003A482C" w:rsidRDefault="003A482C" w:rsidP="00D97982">
      <w:pPr>
        <w:autoSpaceDE w:val="0"/>
        <w:autoSpaceDN w:val="0"/>
        <w:adjustRightInd w:val="0"/>
        <w:spacing w:line="240" w:lineRule="auto"/>
        <w:ind w:left="0" w:right="0"/>
        <w:rPr>
          <w:rFonts w:ascii="Calibri" w:hAnsi="Calibri"/>
          <w:bCs/>
          <w:color w:val="000000"/>
        </w:rPr>
      </w:pPr>
      <w:r>
        <w:rPr>
          <w:rFonts w:ascii="Calibri" w:hAnsi="Calibri"/>
          <w:bCs/>
          <w:color w:val="000000"/>
        </w:rPr>
        <w:t xml:space="preserve">A  </w:t>
      </w:r>
      <w:hyperlink r:id="rId10" w:history="1">
        <w:r w:rsidRPr="003A482C">
          <w:rPr>
            <w:rStyle w:val="Hyperlink"/>
            <w:rFonts w:ascii="Calibri" w:hAnsi="Calibri"/>
            <w:bCs/>
          </w:rPr>
          <w:t>Protocol Violation Reporting Form</w:t>
        </w:r>
      </w:hyperlink>
      <w:r>
        <w:rPr>
          <w:rFonts w:ascii="Calibri" w:hAnsi="Calibri"/>
          <w:bCs/>
          <w:color w:val="000000"/>
        </w:rPr>
        <w:t xml:space="preserve"> </w:t>
      </w:r>
      <w:proofErr w:type="gramStart"/>
      <w:r>
        <w:rPr>
          <w:rFonts w:ascii="Calibri" w:hAnsi="Calibri"/>
          <w:bCs/>
          <w:color w:val="000000"/>
        </w:rPr>
        <w:t>must be completed</w:t>
      </w:r>
      <w:proofErr w:type="gramEnd"/>
      <w:r>
        <w:rPr>
          <w:rFonts w:ascii="Calibri" w:hAnsi="Calibri"/>
          <w:bCs/>
          <w:color w:val="000000"/>
        </w:rPr>
        <w:t xml:space="preserve"> for any identified protocol violations.  </w:t>
      </w:r>
      <w:r w:rsidR="00EB70B4">
        <w:rPr>
          <w:rFonts w:ascii="Calibri" w:hAnsi="Calibri"/>
          <w:bCs/>
          <w:color w:val="000000"/>
        </w:rPr>
        <w:t xml:space="preserve">For single site studies </w:t>
      </w:r>
      <w:proofErr w:type="gramStart"/>
      <w:r w:rsidR="00EB70B4">
        <w:rPr>
          <w:rFonts w:ascii="Calibri" w:hAnsi="Calibri"/>
          <w:bCs/>
          <w:color w:val="000000"/>
        </w:rPr>
        <w:t>t</w:t>
      </w:r>
      <w:r w:rsidR="00992010">
        <w:rPr>
          <w:rFonts w:ascii="Calibri" w:hAnsi="Calibri"/>
          <w:bCs/>
          <w:color w:val="000000"/>
        </w:rPr>
        <w:t>his should be completed by the CI</w:t>
      </w:r>
      <w:proofErr w:type="gramEnd"/>
      <w:r w:rsidR="00EB70B4">
        <w:rPr>
          <w:rFonts w:ascii="Calibri" w:hAnsi="Calibri"/>
          <w:bCs/>
          <w:color w:val="000000"/>
        </w:rPr>
        <w:t xml:space="preserve">.  </w:t>
      </w:r>
      <w:r w:rsidR="00992010">
        <w:rPr>
          <w:rFonts w:ascii="Calibri" w:hAnsi="Calibri"/>
          <w:bCs/>
          <w:color w:val="000000"/>
        </w:rPr>
        <w:t xml:space="preserve"> </w:t>
      </w:r>
      <w:r w:rsidR="00EB70B4">
        <w:rPr>
          <w:rFonts w:ascii="Calibri" w:hAnsi="Calibri"/>
          <w:bCs/>
          <w:color w:val="000000"/>
        </w:rPr>
        <w:t xml:space="preserve">For multi-site </w:t>
      </w:r>
      <w:proofErr w:type="gramStart"/>
      <w:r w:rsidR="00EB70B4">
        <w:rPr>
          <w:rFonts w:ascii="Calibri" w:hAnsi="Calibri"/>
          <w:bCs/>
          <w:color w:val="000000"/>
        </w:rPr>
        <w:t>studies</w:t>
      </w:r>
      <w:proofErr w:type="gramEnd"/>
      <w:r w:rsidR="00EB70B4">
        <w:rPr>
          <w:rFonts w:ascii="Calibri" w:hAnsi="Calibri"/>
          <w:bCs/>
          <w:color w:val="000000"/>
        </w:rPr>
        <w:t xml:space="preserve"> the form should be completed by the </w:t>
      </w:r>
      <w:r>
        <w:rPr>
          <w:rFonts w:ascii="Calibri" w:hAnsi="Calibri"/>
          <w:bCs/>
          <w:color w:val="000000"/>
        </w:rPr>
        <w:t>Principal Investigator (PI) at the site</w:t>
      </w:r>
      <w:r w:rsidR="00EB70B4">
        <w:rPr>
          <w:rFonts w:ascii="Calibri" w:hAnsi="Calibri"/>
          <w:bCs/>
          <w:color w:val="000000"/>
        </w:rPr>
        <w:t xml:space="preserve"> and then forwarded to the</w:t>
      </w:r>
      <w:r>
        <w:rPr>
          <w:rFonts w:ascii="Calibri" w:hAnsi="Calibri"/>
          <w:bCs/>
          <w:color w:val="000000"/>
        </w:rPr>
        <w:t xml:space="preserve"> CI within 3 days</w:t>
      </w:r>
      <w:r w:rsidR="00992010">
        <w:rPr>
          <w:rFonts w:ascii="Calibri" w:hAnsi="Calibri"/>
          <w:bCs/>
          <w:color w:val="000000"/>
        </w:rPr>
        <w:t xml:space="preserve"> of the event</w:t>
      </w:r>
      <w:r>
        <w:rPr>
          <w:rFonts w:ascii="Calibri" w:hAnsi="Calibri"/>
          <w:bCs/>
          <w:color w:val="000000"/>
        </w:rPr>
        <w:t>.</w:t>
      </w:r>
    </w:p>
    <w:p w:rsidR="003A482C" w:rsidRDefault="003A482C" w:rsidP="00D97982">
      <w:pPr>
        <w:autoSpaceDE w:val="0"/>
        <w:autoSpaceDN w:val="0"/>
        <w:adjustRightInd w:val="0"/>
        <w:spacing w:line="240" w:lineRule="auto"/>
        <w:ind w:left="0" w:right="0"/>
        <w:rPr>
          <w:rFonts w:ascii="Calibri" w:hAnsi="Calibri"/>
          <w:bCs/>
          <w:color w:val="000000"/>
        </w:rPr>
      </w:pPr>
    </w:p>
    <w:p w:rsidR="00D97982" w:rsidRDefault="00D97982" w:rsidP="00D97982">
      <w:pPr>
        <w:autoSpaceDE w:val="0"/>
        <w:autoSpaceDN w:val="0"/>
        <w:adjustRightInd w:val="0"/>
        <w:spacing w:line="240" w:lineRule="auto"/>
        <w:ind w:left="0" w:right="0"/>
        <w:rPr>
          <w:rFonts w:ascii="Calibri" w:hAnsi="Calibri"/>
          <w:bCs/>
          <w:color w:val="000000"/>
        </w:rPr>
      </w:pPr>
      <w:r w:rsidRPr="00D97982">
        <w:rPr>
          <w:rFonts w:ascii="Calibri" w:hAnsi="Calibri"/>
          <w:bCs/>
          <w:color w:val="000000"/>
        </w:rPr>
        <w:t xml:space="preserve">The CI must </w:t>
      </w:r>
      <w:r w:rsidR="00992010">
        <w:rPr>
          <w:rFonts w:ascii="Calibri" w:hAnsi="Calibri"/>
          <w:bCs/>
          <w:color w:val="000000"/>
        </w:rPr>
        <w:t>forward complete</w:t>
      </w:r>
      <w:r w:rsidR="00116EAA">
        <w:rPr>
          <w:rFonts w:ascii="Calibri" w:hAnsi="Calibri"/>
          <w:bCs/>
          <w:color w:val="000000"/>
        </w:rPr>
        <w:t>d</w:t>
      </w:r>
      <w:r w:rsidR="00992010">
        <w:rPr>
          <w:rFonts w:ascii="Calibri" w:hAnsi="Calibri"/>
          <w:bCs/>
          <w:color w:val="000000"/>
        </w:rPr>
        <w:t xml:space="preserve"> Protocol Violation Reporting Forms to</w:t>
      </w:r>
      <w:r w:rsidRPr="00D97982">
        <w:rPr>
          <w:rFonts w:ascii="Calibri" w:hAnsi="Calibri"/>
          <w:bCs/>
          <w:color w:val="000000"/>
        </w:rPr>
        <w:t xml:space="preserve"> the </w:t>
      </w:r>
      <w:r w:rsidR="007F2339">
        <w:rPr>
          <w:rFonts w:ascii="Calibri" w:hAnsi="Calibri"/>
          <w:bCs/>
          <w:color w:val="000000"/>
        </w:rPr>
        <w:t>RKE office</w:t>
      </w:r>
      <w:r w:rsidR="00992010">
        <w:rPr>
          <w:rFonts w:ascii="Calibri" w:hAnsi="Calibri"/>
          <w:bCs/>
          <w:color w:val="000000"/>
        </w:rPr>
        <w:t xml:space="preserve"> within </w:t>
      </w:r>
      <w:r w:rsidR="005C7FE9">
        <w:rPr>
          <w:rFonts w:ascii="Calibri" w:hAnsi="Calibri"/>
          <w:bCs/>
          <w:color w:val="000000"/>
        </w:rPr>
        <w:t>24 hours</w:t>
      </w:r>
      <w:r w:rsidR="00992010">
        <w:rPr>
          <w:rFonts w:ascii="Calibri" w:hAnsi="Calibri"/>
          <w:bCs/>
          <w:color w:val="000000"/>
        </w:rPr>
        <w:t xml:space="preserve"> of receipt</w:t>
      </w:r>
      <w:r w:rsidRPr="00D97982">
        <w:rPr>
          <w:rFonts w:ascii="Calibri" w:hAnsi="Calibri"/>
          <w:bCs/>
          <w:color w:val="000000"/>
        </w:rPr>
        <w:t xml:space="preserve">. </w:t>
      </w:r>
    </w:p>
    <w:p w:rsidR="00D97982" w:rsidRPr="00D97982" w:rsidRDefault="00D97982" w:rsidP="00D97982">
      <w:pPr>
        <w:autoSpaceDE w:val="0"/>
        <w:autoSpaceDN w:val="0"/>
        <w:adjustRightInd w:val="0"/>
        <w:spacing w:line="240" w:lineRule="auto"/>
        <w:ind w:left="0" w:right="0"/>
        <w:rPr>
          <w:rFonts w:ascii="Calibri" w:hAnsi="Calibri"/>
          <w:bCs/>
          <w:color w:val="000000"/>
        </w:rPr>
      </w:pPr>
    </w:p>
    <w:p w:rsidR="00394369" w:rsidRPr="00394369" w:rsidRDefault="00394369" w:rsidP="00394369">
      <w:pPr>
        <w:pStyle w:val="ListParagraph"/>
        <w:numPr>
          <w:ilvl w:val="1"/>
          <w:numId w:val="15"/>
        </w:numPr>
        <w:autoSpaceDE w:val="0"/>
        <w:autoSpaceDN w:val="0"/>
        <w:adjustRightInd w:val="0"/>
        <w:spacing w:line="240" w:lineRule="auto"/>
        <w:ind w:right="0"/>
        <w:rPr>
          <w:rFonts w:ascii="Calibri" w:hAnsi="Calibri"/>
          <w:b/>
          <w:bCs/>
          <w:color w:val="000000"/>
        </w:rPr>
      </w:pPr>
      <w:r w:rsidRPr="00394369">
        <w:rPr>
          <w:rFonts w:ascii="Calibri" w:hAnsi="Calibri"/>
          <w:b/>
          <w:bCs/>
          <w:color w:val="000000"/>
        </w:rPr>
        <w:t>Adverse Event Reporting</w:t>
      </w:r>
    </w:p>
    <w:p w:rsidR="00394369" w:rsidRPr="00394369" w:rsidRDefault="00195FE3" w:rsidP="00394369">
      <w:pPr>
        <w:autoSpaceDE w:val="0"/>
        <w:autoSpaceDN w:val="0"/>
        <w:adjustRightInd w:val="0"/>
        <w:spacing w:line="240" w:lineRule="auto"/>
        <w:ind w:left="0" w:right="0"/>
        <w:rPr>
          <w:rFonts w:ascii="Calibri" w:hAnsi="Calibri"/>
          <w:color w:val="000000"/>
        </w:rPr>
      </w:pPr>
      <w:r>
        <w:rPr>
          <w:rFonts w:ascii="Calibri" w:hAnsi="Calibri"/>
          <w:color w:val="000000"/>
        </w:rPr>
        <w:t xml:space="preserve">All adverse events </w:t>
      </w:r>
      <w:proofErr w:type="gramStart"/>
      <w:r>
        <w:rPr>
          <w:rFonts w:ascii="Calibri" w:hAnsi="Calibri"/>
          <w:color w:val="000000"/>
        </w:rPr>
        <w:t>must</w:t>
      </w:r>
      <w:r w:rsidR="00394369" w:rsidRPr="00394369">
        <w:rPr>
          <w:rFonts w:ascii="Calibri" w:hAnsi="Calibri"/>
          <w:color w:val="000000"/>
        </w:rPr>
        <w:t xml:space="preserve"> be r</w:t>
      </w:r>
      <w:r>
        <w:rPr>
          <w:rFonts w:ascii="Calibri" w:hAnsi="Calibri"/>
          <w:color w:val="000000"/>
        </w:rPr>
        <w:t>eported</w:t>
      </w:r>
      <w:proofErr w:type="gramEnd"/>
      <w:r>
        <w:rPr>
          <w:rFonts w:ascii="Calibri" w:hAnsi="Calibri"/>
          <w:color w:val="000000"/>
        </w:rPr>
        <w:t>. Depending on the severity</w:t>
      </w:r>
      <w:r w:rsidR="00394369" w:rsidRPr="00394369">
        <w:rPr>
          <w:rFonts w:ascii="Calibri" w:hAnsi="Calibri"/>
          <w:color w:val="000000"/>
        </w:rPr>
        <w:t xml:space="preserve"> of the </w:t>
      </w:r>
      <w:proofErr w:type="gramStart"/>
      <w:r w:rsidR="00394369" w:rsidRPr="00394369">
        <w:rPr>
          <w:rFonts w:ascii="Calibri" w:hAnsi="Calibri"/>
          <w:color w:val="000000"/>
        </w:rPr>
        <w:t>event</w:t>
      </w:r>
      <w:proofErr w:type="gramEnd"/>
      <w:r w:rsidR="00394369" w:rsidRPr="00394369">
        <w:rPr>
          <w:rFonts w:ascii="Calibri" w:hAnsi="Calibri"/>
          <w:color w:val="000000"/>
        </w:rPr>
        <w:t xml:space="preserve"> the reporting procedures below should be followed. </w:t>
      </w:r>
    </w:p>
    <w:p w:rsidR="00EC0780" w:rsidRDefault="00EC0780" w:rsidP="00394369">
      <w:pPr>
        <w:autoSpaceDE w:val="0"/>
        <w:autoSpaceDN w:val="0"/>
        <w:adjustRightInd w:val="0"/>
        <w:spacing w:line="240" w:lineRule="auto"/>
        <w:ind w:left="0" w:right="0"/>
        <w:rPr>
          <w:rFonts w:ascii="Calibri" w:hAnsi="Calibri"/>
          <w:color w:val="000000"/>
        </w:rPr>
      </w:pPr>
    </w:p>
    <w:p w:rsidR="006048A8" w:rsidRPr="006048A8" w:rsidRDefault="006048A8" w:rsidP="00394369">
      <w:pPr>
        <w:autoSpaceDE w:val="0"/>
        <w:autoSpaceDN w:val="0"/>
        <w:adjustRightInd w:val="0"/>
        <w:spacing w:line="240" w:lineRule="auto"/>
        <w:ind w:left="0" w:right="0"/>
        <w:rPr>
          <w:rFonts w:ascii="Calibri" w:hAnsi="Calibri"/>
          <w:color w:val="000000"/>
          <w:u w:val="single"/>
        </w:rPr>
      </w:pPr>
      <w:r w:rsidRPr="006048A8">
        <w:rPr>
          <w:rFonts w:ascii="Calibri" w:hAnsi="Calibri"/>
          <w:color w:val="000000"/>
          <w:u w:val="single"/>
        </w:rPr>
        <w:t>Non-serious AEs</w:t>
      </w:r>
    </w:p>
    <w:p w:rsidR="00394369" w:rsidRPr="00394369" w:rsidRDefault="006048A8" w:rsidP="00394369">
      <w:pPr>
        <w:autoSpaceDE w:val="0"/>
        <w:autoSpaceDN w:val="0"/>
        <w:adjustRightInd w:val="0"/>
        <w:spacing w:line="240" w:lineRule="auto"/>
        <w:ind w:left="0" w:right="0"/>
        <w:rPr>
          <w:rFonts w:ascii="Calibri" w:hAnsi="Calibri"/>
          <w:color w:val="000000"/>
        </w:rPr>
      </w:pPr>
      <w:r>
        <w:rPr>
          <w:rFonts w:ascii="Calibri" w:hAnsi="Calibri"/>
          <w:color w:val="000000"/>
        </w:rPr>
        <w:t xml:space="preserve">A </w:t>
      </w:r>
      <w:hyperlink r:id="rId11" w:history="1">
        <w:r w:rsidRPr="005C7FE9">
          <w:rPr>
            <w:rStyle w:val="Hyperlink"/>
            <w:rFonts w:ascii="Calibri" w:hAnsi="Calibri"/>
          </w:rPr>
          <w:t>File Not</w:t>
        </w:r>
        <w:r w:rsidRPr="005C7FE9">
          <w:rPr>
            <w:rStyle w:val="Hyperlink"/>
            <w:rFonts w:ascii="Calibri" w:hAnsi="Calibri"/>
          </w:rPr>
          <w:t>e</w:t>
        </w:r>
      </w:hyperlink>
      <w:r>
        <w:rPr>
          <w:rFonts w:ascii="Calibri" w:hAnsi="Calibri"/>
          <w:color w:val="000000"/>
        </w:rPr>
        <w:t xml:space="preserve"> </w:t>
      </w:r>
      <w:proofErr w:type="gramStart"/>
      <w:r>
        <w:rPr>
          <w:rFonts w:ascii="Calibri" w:hAnsi="Calibri"/>
          <w:color w:val="000000"/>
        </w:rPr>
        <w:t xml:space="preserve">should be completed by the CI and </w:t>
      </w:r>
      <w:r w:rsidR="00394369" w:rsidRPr="00394369">
        <w:rPr>
          <w:rFonts w:ascii="Calibri" w:hAnsi="Calibri"/>
          <w:color w:val="000000"/>
        </w:rPr>
        <w:t>stored in the study master file</w:t>
      </w:r>
      <w:proofErr w:type="gramEnd"/>
      <w:r w:rsidR="00394369" w:rsidRPr="00394369">
        <w:rPr>
          <w:rFonts w:ascii="Calibri" w:hAnsi="Calibri"/>
          <w:color w:val="000000"/>
        </w:rPr>
        <w:t>.</w:t>
      </w:r>
    </w:p>
    <w:p w:rsidR="00EC0780" w:rsidRDefault="00EC0780" w:rsidP="00394369">
      <w:pPr>
        <w:autoSpaceDE w:val="0"/>
        <w:autoSpaceDN w:val="0"/>
        <w:adjustRightInd w:val="0"/>
        <w:spacing w:line="240" w:lineRule="auto"/>
        <w:ind w:left="0" w:right="0"/>
        <w:rPr>
          <w:rFonts w:ascii="Calibri" w:hAnsi="Calibri"/>
          <w:color w:val="000000"/>
        </w:rPr>
      </w:pPr>
    </w:p>
    <w:p w:rsidR="006048A8" w:rsidRPr="006048A8" w:rsidRDefault="006048A8" w:rsidP="00394369">
      <w:pPr>
        <w:autoSpaceDE w:val="0"/>
        <w:autoSpaceDN w:val="0"/>
        <w:adjustRightInd w:val="0"/>
        <w:spacing w:line="240" w:lineRule="auto"/>
        <w:ind w:left="0" w:right="0"/>
        <w:rPr>
          <w:rFonts w:ascii="Calibri" w:hAnsi="Calibri"/>
          <w:color w:val="000000"/>
          <w:u w:val="single"/>
        </w:rPr>
      </w:pPr>
      <w:r w:rsidRPr="006048A8">
        <w:rPr>
          <w:rFonts w:ascii="Calibri" w:hAnsi="Calibri"/>
          <w:color w:val="000000"/>
          <w:u w:val="single"/>
        </w:rPr>
        <w:t>Serious AEs</w:t>
      </w:r>
    </w:p>
    <w:p w:rsidR="00394369" w:rsidRDefault="006048A8" w:rsidP="006048A8">
      <w:pPr>
        <w:autoSpaceDE w:val="0"/>
        <w:autoSpaceDN w:val="0"/>
        <w:adjustRightInd w:val="0"/>
        <w:spacing w:line="240" w:lineRule="auto"/>
        <w:ind w:left="0" w:right="0"/>
        <w:rPr>
          <w:rFonts w:ascii="Calibri" w:hAnsi="Calibri"/>
          <w:color w:val="000000"/>
        </w:rPr>
      </w:pPr>
      <w:r>
        <w:rPr>
          <w:rFonts w:ascii="Calibri" w:hAnsi="Calibri"/>
          <w:color w:val="000000"/>
        </w:rPr>
        <w:t xml:space="preserve">For single site </w:t>
      </w:r>
      <w:proofErr w:type="gramStart"/>
      <w:r>
        <w:rPr>
          <w:rFonts w:ascii="Calibri" w:hAnsi="Calibri"/>
          <w:color w:val="000000"/>
        </w:rPr>
        <w:t>studies</w:t>
      </w:r>
      <w:proofErr w:type="gramEnd"/>
      <w:r>
        <w:rPr>
          <w:rFonts w:ascii="Calibri" w:hAnsi="Calibri"/>
          <w:color w:val="000000"/>
        </w:rPr>
        <w:t xml:space="preserve"> the CI should complete an </w:t>
      </w:r>
      <w:hyperlink r:id="rId12" w:history="1">
        <w:r w:rsidRPr="00111B4B">
          <w:rPr>
            <w:rStyle w:val="Hyperlink"/>
            <w:rFonts w:ascii="Calibri" w:hAnsi="Calibri"/>
          </w:rPr>
          <w:t>SAE Form</w:t>
        </w:r>
      </w:hyperlink>
      <w:r>
        <w:rPr>
          <w:rFonts w:ascii="Calibri" w:hAnsi="Calibri"/>
          <w:color w:val="000000"/>
        </w:rPr>
        <w:t xml:space="preserve">.  For multi-site </w:t>
      </w:r>
      <w:proofErr w:type="gramStart"/>
      <w:r>
        <w:rPr>
          <w:rFonts w:ascii="Calibri" w:hAnsi="Calibri"/>
          <w:color w:val="000000"/>
        </w:rPr>
        <w:t>studies</w:t>
      </w:r>
      <w:proofErr w:type="gramEnd"/>
      <w:r>
        <w:rPr>
          <w:rFonts w:ascii="Calibri" w:hAnsi="Calibri"/>
          <w:color w:val="000000"/>
        </w:rPr>
        <w:t xml:space="preserve"> the PI should complete and SAE form and send this to the CI within 24 hours of the event.  Unexpected events that are thought to be related to the research procedure (in the opinion of the CI) should be reported to the NHS REC (where applicable) within 15 days of the CI becoming aware of the event.</w:t>
      </w:r>
    </w:p>
    <w:p w:rsidR="006048A8" w:rsidRDefault="006048A8" w:rsidP="006048A8">
      <w:pPr>
        <w:autoSpaceDE w:val="0"/>
        <w:autoSpaceDN w:val="0"/>
        <w:adjustRightInd w:val="0"/>
        <w:spacing w:line="240" w:lineRule="auto"/>
        <w:ind w:left="0" w:right="0"/>
        <w:rPr>
          <w:rFonts w:ascii="Calibri" w:hAnsi="Calibri"/>
          <w:color w:val="000000"/>
        </w:rPr>
      </w:pPr>
    </w:p>
    <w:p w:rsidR="006048A8" w:rsidRDefault="007F2339" w:rsidP="006048A8">
      <w:pPr>
        <w:autoSpaceDE w:val="0"/>
        <w:autoSpaceDN w:val="0"/>
        <w:adjustRightInd w:val="0"/>
        <w:spacing w:line="240" w:lineRule="auto"/>
        <w:ind w:left="0" w:right="0"/>
        <w:rPr>
          <w:rFonts w:ascii="Calibri" w:hAnsi="Calibri"/>
          <w:color w:val="000000"/>
        </w:rPr>
      </w:pPr>
      <w:r>
        <w:rPr>
          <w:rFonts w:ascii="Calibri" w:hAnsi="Calibri"/>
          <w:color w:val="000000"/>
        </w:rPr>
        <w:t>The CI must report all SAEs to the RKE Office</w:t>
      </w:r>
      <w:r w:rsidR="00111B4B">
        <w:rPr>
          <w:rFonts w:ascii="Calibri" w:hAnsi="Calibri"/>
          <w:color w:val="000000"/>
        </w:rPr>
        <w:t xml:space="preserve"> within 24 hours of them becoming aware of the event.</w:t>
      </w:r>
    </w:p>
    <w:p w:rsidR="00111B4B" w:rsidRPr="00394369" w:rsidRDefault="00111B4B" w:rsidP="006048A8">
      <w:pPr>
        <w:autoSpaceDE w:val="0"/>
        <w:autoSpaceDN w:val="0"/>
        <w:adjustRightInd w:val="0"/>
        <w:spacing w:line="240" w:lineRule="auto"/>
        <w:ind w:left="0" w:right="0"/>
        <w:rPr>
          <w:rFonts w:ascii="Calibri" w:hAnsi="Calibri"/>
          <w:color w:val="000000"/>
        </w:rPr>
      </w:pPr>
    </w:p>
    <w:p w:rsidR="00390364" w:rsidRPr="00390364" w:rsidRDefault="00390364" w:rsidP="00D837C7">
      <w:pPr>
        <w:pStyle w:val="ListParagraph"/>
        <w:numPr>
          <w:ilvl w:val="0"/>
          <w:numId w:val="15"/>
        </w:numPr>
        <w:autoSpaceDE w:val="0"/>
        <w:autoSpaceDN w:val="0"/>
        <w:adjustRightInd w:val="0"/>
        <w:spacing w:line="240" w:lineRule="auto"/>
        <w:ind w:right="0"/>
        <w:rPr>
          <w:rFonts w:ascii="Calibri" w:hAnsi="Calibri"/>
          <w:color w:val="000000"/>
        </w:rPr>
      </w:pPr>
      <w:r>
        <w:rPr>
          <w:rFonts w:ascii="Calibri" w:hAnsi="Calibri"/>
          <w:b/>
          <w:bCs/>
          <w:color w:val="000000"/>
        </w:rPr>
        <w:t>Related Documents</w:t>
      </w:r>
    </w:p>
    <w:p w:rsidR="00390364" w:rsidRPr="006D7899" w:rsidRDefault="006D7899" w:rsidP="005C7FE9">
      <w:pPr>
        <w:autoSpaceDE w:val="0"/>
        <w:autoSpaceDN w:val="0"/>
        <w:adjustRightInd w:val="0"/>
        <w:spacing w:line="240" w:lineRule="auto"/>
        <w:ind w:left="0" w:right="0"/>
        <w:rPr>
          <w:rStyle w:val="Hyperlink"/>
          <w:rFonts w:ascii="Calibri" w:hAnsi="Calibri"/>
        </w:rPr>
      </w:pPr>
      <w:r>
        <w:rPr>
          <w:rFonts w:ascii="Calibri" w:hAnsi="Calibri"/>
        </w:rPr>
        <w:fldChar w:fldCharType="begin"/>
      </w:r>
      <w:r>
        <w:rPr>
          <w:rFonts w:ascii="Calibri" w:hAnsi="Calibri"/>
        </w:rPr>
        <w:instrText xml:space="preserve"> HYPERLINK "http://www2.mmu.ac.uk/media/mmuacuk/content/documents/research/sop/linked-documents/File-Note-Template.docx" </w:instrText>
      </w:r>
      <w:r>
        <w:rPr>
          <w:rFonts w:ascii="Calibri" w:hAnsi="Calibri"/>
        </w:rPr>
      </w:r>
      <w:r>
        <w:rPr>
          <w:rFonts w:ascii="Calibri" w:hAnsi="Calibri"/>
        </w:rPr>
        <w:fldChar w:fldCharType="separate"/>
      </w:r>
      <w:r w:rsidR="005C7FE9" w:rsidRPr="006D7899">
        <w:rPr>
          <w:rStyle w:val="Hyperlink"/>
          <w:rFonts w:ascii="Calibri" w:hAnsi="Calibri"/>
        </w:rPr>
        <w:t>File Note</w:t>
      </w:r>
    </w:p>
    <w:p w:rsidR="005C7FE9" w:rsidRDefault="006D7899" w:rsidP="005C7FE9">
      <w:pPr>
        <w:autoSpaceDE w:val="0"/>
        <w:autoSpaceDN w:val="0"/>
        <w:adjustRightInd w:val="0"/>
        <w:spacing w:line="240" w:lineRule="auto"/>
        <w:ind w:left="0" w:right="0"/>
        <w:rPr>
          <w:rFonts w:ascii="Calibri" w:hAnsi="Calibri"/>
          <w:bCs/>
          <w:color w:val="000000"/>
        </w:rPr>
      </w:pPr>
      <w:r>
        <w:rPr>
          <w:rFonts w:ascii="Calibri" w:hAnsi="Calibri"/>
        </w:rPr>
        <w:fldChar w:fldCharType="end"/>
      </w:r>
      <w:hyperlink r:id="rId13" w:history="1">
        <w:r w:rsidR="005C7FE9" w:rsidRPr="003A482C">
          <w:rPr>
            <w:rStyle w:val="Hyperlink"/>
            <w:rFonts w:ascii="Calibri" w:hAnsi="Calibri"/>
            <w:bCs/>
          </w:rPr>
          <w:t>Protocol Violation R</w:t>
        </w:r>
        <w:r w:rsidR="005C7FE9" w:rsidRPr="003A482C">
          <w:rPr>
            <w:rStyle w:val="Hyperlink"/>
            <w:rFonts w:ascii="Calibri" w:hAnsi="Calibri"/>
            <w:bCs/>
          </w:rPr>
          <w:t>e</w:t>
        </w:r>
        <w:r w:rsidR="005C7FE9" w:rsidRPr="003A482C">
          <w:rPr>
            <w:rStyle w:val="Hyperlink"/>
            <w:rFonts w:ascii="Calibri" w:hAnsi="Calibri"/>
            <w:bCs/>
          </w:rPr>
          <w:t>porting Form</w:t>
        </w:r>
      </w:hyperlink>
    </w:p>
    <w:p w:rsidR="00EB70B4" w:rsidRDefault="006D7899" w:rsidP="005C7FE9">
      <w:pPr>
        <w:autoSpaceDE w:val="0"/>
        <w:autoSpaceDN w:val="0"/>
        <w:adjustRightInd w:val="0"/>
        <w:spacing w:line="240" w:lineRule="auto"/>
        <w:ind w:left="0" w:right="0"/>
        <w:rPr>
          <w:rFonts w:ascii="Calibri" w:hAnsi="Calibri"/>
          <w:bCs/>
          <w:color w:val="000000"/>
        </w:rPr>
      </w:pPr>
      <w:hyperlink r:id="rId14" w:history="1">
        <w:r w:rsidR="00EB70B4" w:rsidRPr="00111B4B">
          <w:rPr>
            <w:rStyle w:val="Hyperlink"/>
            <w:rFonts w:ascii="Calibri" w:hAnsi="Calibri"/>
          </w:rPr>
          <w:t>SAE Form</w:t>
        </w:r>
      </w:hyperlink>
    </w:p>
    <w:p w:rsidR="005C7FE9" w:rsidRPr="005C7FE9" w:rsidRDefault="005C7FE9" w:rsidP="005C7FE9">
      <w:pPr>
        <w:autoSpaceDE w:val="0"/>
        <w:autoSpaceDN w:val="0"/>
        <w:adjustRightInd w:val="0"/>
        <w:spacing w:line="240" w:lineRule="auto"/>
        <w:ind w:left="0" w:right="0"/>
        <w:rPr>
          <w:rFonts w:ascii="Calibri" w:hAnsi="Calibri"/>
          <w:color w:val="000000"/>
        </w:rPr>
      </w:pPr>
    </w:p>
    <w:p w:rsidR="00390364" w:rsidRPr="00EC0780" w:rsidRDefault="00390364" w:rsidP="00D837C7">
      <w:pPr>
        <w:pStyle w:val="ListParagraph"/>
        <w:numPr>
          <w:ilvl w:val="0"/>
          <w:numId w:val="15"/>
        </w:numPr>
        <w:autoSpaceDE w:val="0"/>
        <w:autoSpaceDN w:val="0"/>
        <w:adjustRightInd w:val="0"/>
        <w:spacing w:line="240" w:lineRule="auto"/>
        <w:ind w:right="0"/>
        <w:rPr>
          <w:rFonts w:ascii="Calibri" w:hAnsi="Calibri"/>
          <w:color w:val="000000"/>
        </w:rPr>
      </w:pPr>
      <w:r>
        <w:rPr>
          <w:rFonts w:ascii="Calibri" w:hAnsi="Calibri"/>
          <w:b/>
          <w:bCs/>
          <w:color w:val="000000"/>
        </w:rPr>
        <w:t>References</w:t>
      </w:r>
    </w:p>
    <w:p w:rsidR="005E65BF" w:rsidRPr="00497C86" w:rsidRDefault="005E65BF" w:rsidP="005E65BF">
      <w:pPr>
        <w:pStyle w:val="Default"/>
        <w:rPr>
          <w:rFonts w:asciiTheme="minorHAnsi" w:hAnsiTheme="minorHAnsi"/>
          <w:bCs/>
        </w:rPr>
      </w:pPr>
      <w:r w:rsidRPr="00497C86">
        <w:rPr>
          <w:rFonts w:asciiTheme="minorHAnsi" w:hAnsiTheme="minorHAnsi"/>
          <w:bCs/>
        </w:rPr>
        <w:t>Research Governance Framework for Health and Social Care</w:t>
      </w:r>
    </w:p>
    <w:p w:rsidR="005E65BF" w:rsidRDefault="006D7899" w:rsidP="005E65BF">
      <w:pPr>
        <w:pStyle w:val="Default"/>
        <w:rPr>
          <w:rFonts w:asciiTheme="minorHAnsi" w:hAnsiTheme="minorHAnsi"/>
          <w:bCs/>
        </w:rPr>
      </w:pPr>
      <w:hyperlink r:id="rId15" w:history="1">
        <w:r w:rsidR="005E65BF" w:rsidRPr="00497C86">
          <w:rPr>
            <w:rStyle w:val="Hyperlink"/>
            <w:rFonts w:asciiTheme="minorHAnsi" w:hAnsiTheme="minorHAnsi"/>
            <w:bCs/>
          </w:rPr>
          <w:t>https://www.gov.uk/government/uploads/system/uploads/attachment_data/file/139565/dh_4122427.pdf</w:t>
        </w:r>
      </w:hyperlink>
    </w:p>
    <w:p w:rsidR="00EC0780" w:rsidRDefault="00EC0780" w:rsidP="00EC0780">
      <w:pPr>
        <w:autoSpaceDE w:val="0"/>
        <w:autoSpaceDN w:val="0"/>
        <w:adjustRightInd w:val="0"/>
        <w:spacing w:line="240" w:lineRule="auto"/>
        <w:ind w:left="0" w:right="0"/>
        <w:rPr>
          <w:rFonts w:ascii="Calibri" w:hAnsi="Calibri"/>
        </w:rPr>
      </w:pPr>
    </w:p>
    <w:p w:rsidR="00EC0780" w:rsidRDefault="00EC0780" w:rsidP="00EC0780">
      <w:pPr>
        <w:autoSpaceDE w:val="0"/>
        <w:autoSpaceDN w:val="0"/>
        <w:adjustRightInd w:val="0"/>
        <w:spacing w:line="240" w:lineRule="auto"/>
        <w:ind w:left="0" w:right="0"/>
        <w:rPr>
          <w:rFonts w:ascii="Calibri" w:hAnsi="Calibri"/>
        </w:rPr>
      </w:pPr>
      <w:r w:rsidRPr="00390364">
        <w:rPr>
          <w:rFonts w:ascii="Calibri" w:hAnsi="Calibri"/>
        </w:rPr>
        <w:t>Medical Devices Regulations 2002</w:t>
      </w:r>
    </w:p>
    <w:p w:rsidR="005E65BF" w:rsidRPr="00EC0780" w:rsidRDefault="006D7899" w:rsidP="00EC0780">
      <w:pPr>
        <w:autoSpaceDE w:val="0"/>
        <w:autoSpaceDN w:val="0"/>
        <w:adjustRightInd w:val="0"/>
        <w:spacing w:line="240" w:lineRule="auto"/>
        <w:ind w:left="0" w:right="0"/>
        <w:rPr>
          <w:rFonts w:ascii="Calibri" w:hAnsi="Calibri"/>
          <w:color w:val="000000"/>
        </w:rPr>
      </w:pPr>
      <w:hyperlink r:id="rId16" w:history="1">
        <w:r w:rsidR="005E65BF" w:rsidRPr="005E65BF">
          <w:rPr>
            <w:rStyle w:val="Hyperlink"/>
            <w:rFonts w:ascii="Calibri" w:hAnsi="Calibri"/>
          </w:rPr>
          <w:t>http://www.legislation.gov.uk/uksi/2002/618/contents/made</w:t>
        </w:r>
      </w:hyperlink>
    </w:p>
    <w:sectPr w:rsidR="005E65BF" w:rsidRPr="00EC0780" w:rsidSect="00A76975">
      <w:footerReference w:type="defaul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CE0" w:rsidRDefault="002B7CE0" w:rsidP="001466C5">
      <w:pPr>
        <w:spacing w:line="240" w:lineRule="auto"/>
      </w:pPr>
      <w:r>
        <w:separator/>
      </w:r>
    </w:p>
  </w:endnote>
  <w:endnote w:type="continuationSeparator" w:id="0">
    <w:p w:rsidR="002B7CE0" w:rsidRDefault="002B7CE0" w:rsidP="00146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67" w:rsidRDefault="00F12467" w:rsidP="00F12467">
    <w:pPr>
      <w:pStyle w:val="Footer"/>
      <w:jc w:val="center"/>
      <w:rPr>
        <w:bCs/>
        <w:sz w:val="20"/>
        <w:szCs w:val="20"/>
      </w:rPr>
    </w:pPr>
    <w:r w:rsidRPr="005D3950">
      <w:rPr>
        <w:sz w:val="20"/>
        <w:szCs w:val="20"/>
      </w:rPr>
      <w:t>SOP Ref No</w:t>
    </w:r>
    <w:r>
      <w:rPr>
        <w:sz w:val="20"/>
        <w:szCs w:val="20"/>
      </w:rPr>
      <w:t>:</w:t>
    </w:r>
    <w:r w:rsidRPr="005D3950">
      <w:rPr>
        <w:bCs/>
        <w:sz w:val="20"/>
        <w:szCs w:val="20"/>
      </w:rPr>
      <w:t xml:space="preserve"> MMU-RKE SOP 01</w:t>
    </w:r>
    <w:r w:rsidR="00AD123C">
      <w:rPr>
        <w:bCs/>
        <w:sz w:val="20"/>
        <w:szCs w:val="20"/>
      </w:rPr>
      <w:t>1</w:t>
    </w:r>
    <w:r w:rsidRPr="005D3950">
      <w:rPr>
        <w:bCs/>
        <w:sz w:val="20"/>
        <w:szCs w:val="20"/>
      </w:rPr>
      <w:t xml:space="preserve"> </w:t>
    </w:r>
    <w:r>
      <w:rPr>
        <w:bCs/>
        <w:sz w:val="20"/>
        <w:szCs w:val="20"/>
      </w:rPr>
      <w:tab/>
    </w:r>
    <w:r>
      <w:rPr>
        <w:bCs/>
        <w:sz w:val="20"/>
        <w:szCs w:val="20"/>
      </w:rPr>
      <w:tab/>
      <w:t xml:space="preserve">          </w:t>
    </w:r>
    <w:r w:rsidR="00472D24">
      <w:rPr>
        <w:bCs/>
        <w:sz w:val="20"/>
        <w:szCs w:val="20"/>
      </w:rPr>
      <w:t>V</w:t>
    </w:r>
    <w:r w:rsidRPr="005D3950">
      <w:rPr>
        <w:bCs/>
        <w:sz w:val="20"/>
        <w:szCs w:val="20"/>
      </w:rPr>
      <w:t xml:space="preserve">ersion </w:t>
    </w:r>
    <w:r w:rsidR="00576DFB">
      <w:rPr>
        <w:bCs/>
        <w:sz w:val="20"/>
        <w:szCs w:val="20"/>
      </w:rPr>
      <w:t>1</w:t>
    </w:r>
    <w:r w:rsidR="00472D24">
      <w:rPr>
        <w:bCs/>
        <w:sz w:val="20"/>
        <w:szCs w:val="20"/>
      </w:rPr>
      <w:t>.0</w:t>
    </w:r>
    <w:r w:rsidR="00576DFB">
      <w:rPr>
        <w:bCs/>
        <w:sz w:val="20"/>
        <w:szCs w:val="20"/>
      </w:rPr>
      <w:t xml:space="preserve">, </w:t>
    </w:r>
    <w:r w:rsidR="00472D24">
      <w:rPr>
        <w:bCs/>
        <w:sz w:val="20"/>
        <w:szCs w:val="20"/>
      </w:rPr>
      <w:t>1</w:t>
    </w:r>
    <w:r w:rsidR="00472D24" w:rsidRPr="00472D24">
      <w:rPr>
        <w:bCs/>
        <w:sz w:val="20"/>
        <w:szCs w:val="20"/>
        <w:vertAlign w:val="superscript"/>
      </w:rPr>
      <w:t>st</w:t>
    </w:r>
    <w:r w:rsidR="00472D24">
      <w:rPr>
        <w:bCs/>
        <w:sz w:val="20"/>
        <w:szCs w:val="20"/>
      </w:rPr>
      <w:t xml:space="preserve"> February 2016</w:t>
    </w:r>
  </w:p>
  <w:p w:rsidR="00F12467" w:rsidRDefault="00F12467" w:rsidP="00F12467">
    <w:pPr>
      <w:pStyle w:val="Footer"/>
      <w:jc w:val="center"/>
      <w:rPr>
        <w:b/>
        <w:bCs/>
        <w:sz w:val="20"/>
        <w:szCs w:val="20"/>
      </w:rPr>
    </w:pPr>
    <w:r>
      <w:rPr>
        <w:bCs/>
        <w:sz w:val="20"/>
        <w:szCs w:val="20"/>
      </w:rPr>
      <w:fldChar w:fldCharType="begin"/>
    </w:r>
    <w:r>
      <w:rPr>
        <w:bCs/>
        <w:sz w:val="20"/>
        <w:szCs w:val="20"/>
      </w:rPr>
      <w:instrText xml:space="preserve"> PAGE   \* MERGEFORMAT </w:instrText>
    </w:r>
    <w:r>
      <w:rPr>
        <w:bCs/>
        <w:sz w:val="20"/>
        <w:szCs w:val="20"/>
      </w:rPr>
      <w:fldChar w:fldCharType="separate"/>
    </w:r>
    <w:r w:rsidR="006D7899">
      <w:rPr>
        <w:bCs/>
        <w:noProof/>
        <w:sz w:val="20"/>
        <w:szCs w:val="20"/>
      </w:rPr>
      <w:t>2</w:t>
    </w:r>
    <w:r>
      <w:rPr>
        <w:bCs/>
        <w:sz w:val="20"/>
        <w:szCs w:val="20"/>
      </w:rPr>
      <w:fldChar w:fldCharType="end"/>
    </w:r>
    <w:r>
      <w:rPr>
        <w:bCs/>
        <w:sz w:val="20"/>
        <w:szCs w:val="20"/>
      </w:rPr>
      <w:t xml:space="preserve"> of </w:t>
    </w:r>
    <w:r>
      <w:rPr>
        <w:bCs/>
        <w:sz w:val="20"/>
        <w:szCs w:val="20"/>
      </w:rPr>
      <w:fldChar w:fldCharType="begin"/>
    </w:r>
    <w:r>
      <w:rPr>
        <w:bCs/>
        <w:sz w:val="20"/>
        <w:szCs w:val="20"/>
      </w:rPr>
      <w:instrText xml:space="preserve"> NUMPAGES   \* MERGEFORMAT </w:instrText>
    </w:r>
    <w:r>
      <w:rPr>
        <w:bCs/>
        <w:sz w:val="20"/>
        <w:szCs w:val="20"/>
      </w:rPr>
      <w:fldChar w:fldCharType="separate"/>
    </w:r>
    <w:r w:rsidR="006D7899">
      <w:rPr>
        <w:bCs/>
        <w:noProof/>
        <w:sz w:val="20"/>
        <w:szCs w:val="20"/>
      </w:rPr>
      <w:t>3</w:t>
    </w:r>
    <w:r>
      <w:rPr>
        <w:bCs/>
        <w:sz w:val="20"/>
        <w:szCs w:val="20"/>
      </w:rPr>
      <w:fldChar w:fldCharType="end"/>
    </w:r>
  </w:p>
  <w:p w:rsidR="006A6084" w:rsidRPr="00F12467" w:rsidRDefault="00F12467" w:rsidP="00F12467">
    <w:pPr>
      <w:pStyle w:val="Footer"/>
      <w:jc w:val="center"/>
      <w:rPr>
        <w:bCs/>
        <w:sz w:val="20"/>
        <w:szCs w:val="20"/>
      </w:rPr>
    </w:pPr>
    <w:r>
      <w:rPr>
        <w:b/>
        <w:bCs/>
        <w:sz w:val="20"/>
        <w:szCs w:val="20"/>
      </w:rPr>
      <w:t>DOCUMENT UNCONTROLLED WHEN PRINTED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CE0" w:rsidRDefault="002B7CE0" w:rsidP="001466C5">
      <w:pPr>
        <w:spacing w:line="240" w:lineRule="auto"/>
      </w:pPr>
      <w:r>
        <w:separator/>
      </w:r>
    </w:p>
  </w:footnote>
  <w:footnote w:type="continuationSeparator" w:id="0">
    <w:p w:rsidR="002B7CE0" w:rsidRDefault="002B7CE0" w:rsidP="001466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72E"/>
    <w:multiLevelType w:val="multilevel"/>
    <w:tmpl w:val="E36667FC"/>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1BC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0D6DEC"/>
    <w:multiLevelType w:val="hybridMultilevel"/>
    <w:tmpl w:val="6FC0921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F63B8"/>
    <w:multiLevelType w:val="hybridMultilevel"/>
    <w:tmpl w:val="B27A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14B9A"/>
    <w:multiLevelType w:val="hybridMultilevel"/>
    <w:tmpl w:val="4F221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0E4598"/>
    <w:multiLevelType w:val="hybridMultilevel"/>
    <w:tmpl w:val="2FDEA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523703"/>
    <w:multiLevelType w:val="hybridMultilevel"/>
    <w:tmpl w:val="50DA1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76AE9"/>
    <w:multiLevelType w:val="multilevel"/>
    <w:tmpl w:val="BFDC13A8"/>
    <w:lvl w:ilvl="0">
      <w:start w:val="20"/>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5A834F1"/>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A9C28AF"/>
    <w:multiLevelType w:val="hybridMultilevel"/>
    <w:tmpl w:val="10169282"/>
    <w:lvl w:ilvl="0" w:tplc="CBBCA1FA">
      <w:start w:val="1"/>
      <w:numFmt w:val="decimal"/>
      <w:lvlText w:val="%1."/>
      <w:lvlJc w:val="left"/>
      <w:pPr>
        <w:tabs>
          <w:tab w:val="num" w:pos="2340"/>
        </w:tabs>
        <w:ind w:left="2340" w:hanging="360"/>
      </w:pPr>
      <w:rPr>
        <w:b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4687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9AE4A72"/>
    <w:multiLevelType w:val="hybridMultilevel"/>
    <w:tmpl w:val="757E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E5750"/>
    <w:multiLevelType w:val="multilevel"/>
    <w:tmpl w:val="D2FE0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662D4E"/>
    <w:multiLevelType w:val="hybridMultilevel"/>
    <w:tmpl w:val="069E48EE"/>
    <w:lvl w:ilvl="0" w:tplc="12AE0E1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7212B"/>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C230044"/>
    <w:multiLevelType w:val="hybridMultilevel"/>
    <w:tmpl w:val="95D82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6D0D2C"/>
    <w:multiLevelType w:val="multilevel"/>
    <w:tmpl w:val="F13C422A"/>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85433CC"/>
    <w:multiLevelType w:val="hybridMultilevel"/>
    <w:tmpl w:val="A27C1838"/>
    <w:lvl w:ilvl="0" w:tplc="C238794A">
      <w:start w:val="1"/>
      <w:numFmt w:val="bullet"/>
      <w:lvlText w:val=""/>
      <w:lvlJc w:val="left"/>
      <w:pPr>
        <w:tabs>
          <w:tab w:val="num" w:pos="720"/>
        </w:tabs>
        <w:ind w:left="720" w:hanging="360"/>
      </w:pPr>
      <w:rPr>
        <w:rFonts w:ascii="Symbol" w:hAnsi="Symbol" w:hint="default"/>
      </w:rPr>
    </w:lvl>
    <w:lvl w:ilvl="1" w:tplc="972E5636">
      <w:numFmt w:val="bullet"/>
      <w:lvlText w:val="•"/>
      <w:lvlJc w:val="left"/>
      <w:pPr>
        <w:ind w:left="1265" w:hanging="360"/>
      </w:pPr>
      <w:rPr>
        <w:rFonts w:ascii="Times New Roman" w:eastAsia="Times New Roman" w:hAnsi="Times New Roman" w:cs="Times New Roman" w:hint="default"/>
      </w:rPr>
    </w:lvl>
    <w:lvl w:ilvl="2" w:tplc="08090005" w:tentative="1">
      <w:start w:val="1"/>
      <w:numFmt w:val="bullet"/>
      <w:lvlText w:val=""/>
      <w:lvlJc w:val="left"/>
      <w:pPr>
        <w:tabs>
          <w:tab w:val="num" w:pos="1985"/>
        </w:tabs>
        <w:ind w:left="1985" w:hanging="360"/>
      </w:pPr>
      <w:rPr>
        <w:rFonts w:ascii="Wingdings" w:hAnsi="Wingdings" w:hint="default"/>
      </w:rPr>
    </w:lvl>
    <w:lvl w:ilvl="3" w:tplc="08090001" w:tentative="1">
      <w:start w:val="1"/>
      <w:numFmt w:val="bullet"/>
      <w:lvlText w:val=""/>
      <w:lvlJc w:val="left"/>
      <w:pPr>
        <w:tabs>
          <w:tab w:val="num" w:pos="2705"/>
        </w:tabs>
        <w:ind w:left="2705" w:hanging="360"/>
      </w:pPr>
      <w:rPr>
        <w:rFonts w:ascii="Symbol" w:hAnsi="Symbol" w:hint="default"/>
      </w:rPr>
    </w:lvl>
    <w:lvl w:ilvl="4" w:tplc="08090003" w:tentative="1">
      <w:start w:val="1"/>
      <w:numFmt w:val="bullet"/>
      <w:lvlText w:val="o"/>
      <w:lvlJc w:val="left"/>
      <w:pPr>
        <w:tabs>
          <w:tab w:val="num" w:pos="3425"/>
        </w:tabs>
        <w:ind w:left="3425" w:hanging="360"/>
      </w:pPr>
      <w:rPr>
        <w:rFonts w:ascii="Courier New" w:hAnsi="Courier New" w:cs="Courier New" w:hint="default"/>
      </w:rPr>
    </w:lvl>
    <w:lvl w:ilvl="5" w:tplc="08090005" w:tentative="1">
      <w:start w:val="1"/>
      <w:numFmt w:val="bullet"/>
      <w:lvlText w:val=""/>
      <w:lvlJc w:val="left"/>
      <w:pPr>
        <w:tabs>
          <w:tab w:val="num" w:pos="4145"/>
        </w:tabs>
        <w:ind w:left="4145" w:hanging="360"/>
      </w:pPr>
      <w:rPr>
        <w:rFonts w:ascii="Wingdings" w:hAnsi="Wingdings" w:hint="default"/>
      </w:rPr>
    </w:lvl>
    <w:lvl w:ilvl="6" w:tplc="08090001" w:tentative="1">
      <w:start w:val="1"/>
      <w:numFmt w:val="bullet"/>
      <w:lvlText w:val=""/>
      <w:lvlJc w:val="left"/>
      <w:pPr>
        <w:tabs>
          <w:tab w:val="num" w:pos="4865"/>
        </w:tabs>
        <w:ind w:left="4865" w:hanging="360"/>
      </w:pPr>
      <w:rPr>
        <w:rFonts w:ascii="Symbol" w:hAnsi="Symbol" w:hint="default"/>
      </w:rPr>
    </w:lvl>
    <w:lvl w:ilvl="7" w:tplc="08090003" w:tentative="1">
      <w:start w:val="1"/>
      <w:numFmt w:val="bullet"/>
      <w:lvlText w:val="o"/>
      <w:lvlJc w:val="left"/>
      <w:pPr>
        <w:tabs>
          <w:tab w:val="num" w:pos="5585"/>
        </w:tabs>
        <w:ind w:left="5585" w:hanging="360"/>
      </w:pPr>
      <w:rPr>
        <w:rFonts w:ascii="Courier New" w:hAnsi="Courier New" w:cs="Courier New" w:hint="default"/>
      </w:rPr>
    </w:lvl>
    <w:lvl w:ilvl="8" w:tplc="08090005" w:tentative="1">
      <w:start w:val="1"/>
      <w:numFmt w:val="bullet"/>
      <w:lvlText w:val=""/>
      <w:lvlJc w:val="left"/>
      <w:pPr>
        <w:tabs>
          <w:tab w:val="num" w:pos="6305"/>
        </w:tabs>
        <w:ind w:left="6305" w:hanging="360"/>
      </w:pPr>
      <w:rPr>
        <w:rFonts w:ascii="Wingdings" w:hAnsi="Wingdings" w:hint="default"/>
      </w:rPr>
    </w:lvl>
  </w:abstractNum>
  <w:abstractNum w:abstractNumId="20" w15:restartNumberingAfterBreak="0">
    <w:nsid w:val="6B962015"/>
    <w:multiLevelType w:val="hybridMultilevel"/>
    <w:tmpl w:val="EFF4EFB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D529F8"/>
    <w:multiLevelType w:val="hybridMultilevel"/>
    <w:tmpl w:val="23BE903A"/>
    <w:lvl w:ilvl="0" w:tplc="906852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3972EF"/>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5697CFF"/>
    <w:multiLevelType w:val="hybridMultilevel"/>
    <w:tmpl w:val="AB6CE37A"/>
    <w:lvl w:ilvl="0" w:tplc="094CF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973292"/>
    <w:multiLevelType w:val="multilevel"/>
    <w:tmpl w:val="D2FE0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6D04BE"/>
    <w:multiLevelType w:val="hybridMultilevel"/>
    <w:tmpl w:val="1656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num>
  <w:num w:numId="4">
    <w:abstractNumId w:val="12"/>
  </w:num>
  <w:num w:numId="5">
    <w:abstractNumId w:val="10"/>
  </w:num>
  <w:num w:numId="6">
    <w:abstractNumId w:val="8"/>
  </w:num>
  <w:num w:numId="7">
    <w:abstractNumId w:val="20"/>
  </w:num>
  <w:num w:numId="8">
    <w:abstractNumId w:val="3"/>
  </w:num>
  <w:num w:numId="9">
    <w:abstractNumId w:val="16"/>
  </w:num>
  <w:num w:numId="10">
    <w:abstractNumId w:val="9"/>
  </w:num>
  <w:num w:numId="11">
    <w:abstractNumId w:val="2"/>
  </w:num>
  <w:num w:numId="12">
    <w:abstractNumId w:val="22"/>
  </w:num>
  <w:num w:numId="13">
    <w:abstractNumId w:val="18"/>
  </w:num>
  <w:num w:numId="14">
    <w:abstractNumId w:val="23"/>
  </w:num>
  <w:num w:numId="15">
    <w:abstractNumId w:val="0"/>
  </w:num>
  <w:num w:numId="16">
    <w:abstractNumId w:val="24"/>
  </w:num>
  <w:num w:numId="17">
    <w:abstractNumId w:val="14"/>
  </w:num>
  <w:num w:numId="18">
    <w:abstractNumId w:val="19"/>
  </w:num>
  <w:num w:numId="19">
    <w:abstractNumId w:val="11"/>
  </w:num>
  <w:num w:numId="20">
    <w:abstractNumId w:val="1"/>
  </w:num>
  <w:num w:numId="21">
    <w:abstractNumId w:val="7"/>
  </w:num>
  <w:num w:numId="22">
    <w:abstractNumId w:val="5"/>
  </w:num>
  <w:num w:numId="23">
    <w:abstractNumId w:val="13"/>
  </w:num>
  <w:num w:numId="24">
    <w:abstractNumId w:val="15"/>
  </w:num>
  <w:num w:numId="25">
    <w:abstractNumId w:val="25"/>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75"/>
    <w:rsid w:val="00042A63"/>
    <w:rsid w:val="00060721"/>
    <w:rsid w:val="00065649"/>
    <w:rsid w:val="000708C3"/>
    <w:rsid w:val="00073550"/>
    <w:rsid w:val="00095487"/>
    <w:rsid w:val="000C1E4F"/>
    <w:rsid w:val="000D0238"/>
    <w:rsid w:val="000D2E92"/>
    <w:rsid w:val="000D67D4"/>
    <w:rsid w:val="000E16B5"/>
    <w:rsid w:val="00111B4B"/>
    <w:rsid w:val="00116EAA"/>
    <w:rsid w:val="00127B6F"/>
    <w:rsid w:val="001466C5"/>
    <w:rsid w:val="00192EC3"/>
    <w:rsid w:val="00195FE3"/>
    <w:rsid w:val="001B0036"/>
    <w:rsid w:val="001B4880"/>
    <w:rsid w:val="001D64C3"/>
    <w:rsid w:val="001F49E4"/>
    <w:rsid w:val="00294596"/>
    <w:rsid w:val="002B7CE0"/>
    <w:rsid w:val="002C03A4"/>
    <w:rsid w:val="002C681F"/>
    <w:rsid w:val="00316C5B"/>
    <w:rsid w:val="003846F2"/>
    <w:rsid w:val="00390364"/>
    <w:rsid w:val="00394369"/>
    <w:rsid w:val="003A482C"/>
    <w:rsid w:val="00421D6F"/>
    <w:rsid w:val="00472D24"/>
    <w:rsid w:val="004D77BC"/>
    <w:rsid w:val="00525A50"/>
    <w:rsid w:val="005304C6"/>
    <w:rsid w:val="00576DFB"/>
    <w:rsid w:val="00590A0C"/>
    <w:rsid w:val="005C7FE9"/>
    <w:rsid w:val="005D3950"/>
    <w:rsid w:val="005E65BF"/>
    <w:rsid w:val="005F6D2E"/>
    <w:rsid w:val="006048A8"/>
    <w:rsid w:val="0068074B"/>
    <w:rsid w:val="006A0B2D"/>
    <w:rsid w:val="006A490D"/>
    <w:rsid w:val="006A6084"/>
    <w:rsid w:val="006C7155"/>
    <w:rsid w:val="006D7899"/>
    <w:rsid w:val="00716228"/>
    <w:rsid w:val="00763E6D"/>
    <w:rsid w:val="0078107C"/>
    <w:rsid w:val="007B7F2F"/>
    <w:rsid w:val="007C7C9B"/>
    <w:rsid w:val="007F2339"/>
    <w:rsid w:val="00801D0E"/>
    <w:rsid w:val="00810E70"/>
    <w:rsid w:val="0083152C"/>
    <w:rsid w:val="00851701"/>
    <w:rsid w:val="00855D53"/>
    <w:rsid w:val="00873502"/>
    <w:rsid w:val="008A16ED"/>
    <w:rsid w:val="008E677E"/>
    <w:rsid w:val="009022E8"/>
    <w:rsid w:val="00903A73"/>
    <w:rsid w:val="009808C2"/>
    <w:rsid w:val="00992010"/>
    <w:rsid w:val="00A21DC9"/>
    <w:rsid w:val="00A370BF"/>
    <w:rsid w:val="00A67283"/>
    <w:rsid w:val="00A76975"/>
    <w:rsid w:val="00AC0AF8"/>
    <w:rsid w:val="00AD123C"/>
    <w:rsid w:val="00B51E3C"/>
    <w:rsid w:val="00B63CA2"/>
    <w:rsid w:val="00C167F9"/>
    <w:rsid w:val="00C21AF9"/>
    <w:rsid w:val="00CA1539"/>
    <w:rsid w:val="00D05E94"/>
    <w:rsid w:val="00D10934"/>
    <w:rsid w:val="00D11DC6"/>
    <w:rsid w:val="00D14281"/>
    <w:rsid w:val="00D51BB7"/>
    <w:rsid w:val="00D66430"/>
    <w:rsid w:val="00D837C7"/>
    <w:rsid w:val="00D91560"/>
    <w:rsid w:val="00D97982"/>
    <w:rsid w:val="00DD075F"/>
    <w:rsid w:val="00DF30C4"/>
    <w:rsid w:val="00E37FA4"/>
    <w:rsid w:val="00EB70B4"/>
    <w:rsid w:val="00EC0780"/>
    <w:rsid w:val="00F12467"/>
    <w:rsid w:val="00F23392"/>
    <w:rsid w:val="00F261F9"/>
    <w:rsid w:val="00F435E4"/>
    <w:rsid w:val="00F84A4E"/>
    <w:rsid w:val="00FA229B"/>
    <w:rsid w:val="00FC78DA"/>
    <w:rsid w:val="00FD0557"/>
    <w:rsid w:val="00FE2ABF"/>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1419B2-2178-4F95-BB8A-01B4FED2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276" w:lineRule="auto"/>
        <w:ind w:left="-284" w:right="-32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75"/>
  </w:style>
  <w:style w:type="paragraph" w:styleId="Heading2">
    <w:name w:val="heading 2"/>
    <w:basedOn w:val="Normal"/>
    <w:next w:val="Normal"/>
    <w:link w:val="Heading2Char"/>
    <w:uiPriority w:val="9"/>
    <w:semiHidden/>
    <w:unhideWhenUsed/>
    <w:qFormat/>
    <w:rsid w:val="003943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0934"/>
    <w:pPr>
      <w:keepNext/>
      <w:keepLines/>
      <w:spacing w:before="40"/>
      <w:ind w:left="0" w:right="0"/>
      <w:outlineLvl w:val="2"/>
    </w:pPr>
    <w:rPr>
      <w:rFonts w:ascii="Calibri" w:eastAsiaTheme="majorEastAsia" w:hAnsi="Calibr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975"/>
    <w:pPr>
      <w:autoSpaceDE w:val="0"/>
      <w:autoSpaceDN w:val="0"/>
      <w:adjustRightInd w:val="0"/>
      <w:spacing w:line="240" w:lineRule="auto"/>
      <w:ind w:left="0" w:right="0"/>
    </w:pPr>
    <w:rPr>
      <w:color w:val="000000"/>
    </w:rPr>
  </w:style>
  <w:style w:type="table" w:styleId="TableGrid">
    <w:name w:val="Table Grid"/>
    <w:basedOn w:val="TableNormal"/>
    <w:uiPriority w:val="59"/>
    <w:rsid w:val="00A769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975"/>
    <w:pPr>
      <w:ind w:left="720"/>
      <w:contextualSpacing/>
    </w:pPr>
  </w:style>
  <w:style w:type="paragraph" w:styleId="BalloonText">
    <w:name w:val="Balloon Text"/>
    <w:basedOn w:val="Normal"/>
    <w:link w:val="BalloonTextChar"/>
    <w:uiPriority w:val="99"/>
    <w:semiHidden/>
    <w:unhideWhenUsed/>
    <w:rsid w:val="00A76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75"/>
    <w:rPr>
      <w:rFonts w:ascii="Tahoma" w:hAnsi="Tahoma" w:cs="Tahoma"/>
      <w:sz w:val="16"/>
      <w:szCs w:val="16"/>
    </w:rPr>
  </w:style>
  <w:style w:type="paragraph" w:styleId="Header">
    <w:name w:val="header"/>
    <w:basedOn w:val="Normal"/>
    <w:link w:val="HeaderChar"/>
    <w:uiPriority w:val="99"/>
    <w:unhideWhenUsed/>
    <w:rsid w:val="001466C5"/>
    <w:pPr>
      <w:tabs>
        <w:tab w:val="center" w:pos="4513"/>
        <w:tab w:val="right" w:pos="9026"/>
      </w:tabs>
      <w:spacing w:line="240" w:lineRule="auto"/>
    </w:pPr>
  </w:style>
  <w:style w:type="character" w:customStyle="1" w:styleId="HeaderChar">
    <w:name w:val="Header Char"/>
    <w:basedOn w:val="DefaultParagraphFont"/>
    <w:link w:val="Header"/>
    <w:uiPriority w:val="99"/>
    <w:rsid w:val="001466C5"/>
  </w:style>
  <w:style w:type="paragraph" w:styleId="Footer">
    <w:name w:val="footer"/>
    <w:basedOn w:val="Normal"/>
    <w:link w:val="FooterChar"/>
    <w:uiPriority w:val="99"/>
    <w:unhideWhenUsed/>
    <w:rsid w:val="001466C5"/>
    <w:pPr>
      <w:tabs>
        <w:tab w:val="center" w:pos="4513"/>
        <w:tab w:val="right" w:pos="9026"/>
      </w:tabs>
      <w:spacing w:line="240" w:lineRule="auto"/>
    </w:pPr>
  </w:style>
  <w:style w:type="character" w:customStyle="1" w:styleId="FooterChar">
    <w:name w:val="Footer Char"/>
    <w:basedOn w:val="DefaultParagraphFont"/>
    <w:link w:val="Footer"/>
    <w:uiPriority w:val="99"/>
    <w:rsid w:val="001466C5"/>
  </w:style>
  <w:style w:type="character" w:styleId="PlaceholderText">
    <w:name w:val="Placeholder Text"/>
    <w:basedOn w:val="DefaultParagraphFont"/>
    <w:uiPriority w:val="99"/>
    <w:semiHidden/>
    <w:rsid w:val="009808C2"/>
    <w:rPr>
      <w:color w:val="808080"/>
    </w:rPr>
  </w:style>
  <w:style w:type="character" w:customStyle="1" w:styleId="Heading3Char">
    <w:name w:val="Heading 3 Char"/>
    <w:basedOn w:val="DefaultParagraphFont"/>
    <w:link w:val="Heading3"/>
    <w:uiPriority w:val="9"/>
    <w:rsid w:val="00D10934"/>
    <w:rPr>
      <w:rFonts w:ascii="Calibri" w:eastAsiaTheme="majorEastAsia" w:hAnsi="Calibri" w:cstheme="majorBidi"/>
      <w:b/>
      <w:sz w:val="22"/>
    </w:rPr>
  </w:style>
  <w:style w:type="paragraph" w:styleId="BodyText">
    <w:name w:val="Body Text"/>
    <w:basedOn w:val="Normal"/>
    <w:link w:val="BodyTextChar"/>
    <w:rsid w:val="00D1093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0" w:right="0"/>
    </w:pPr>
    <w:rPr>
      <w:rFonts w:ascii="Times Roman" w:eastAsia="Times New Roman" w:hAnsi="Times Roman" w:cs="Times New Roman"/>
      <w:i/>
      <w:spacing w:val="-3"/>
      <w:szCs w:val="20"/>
    </w:rPr>
  </w:style>
  <w:style w:type="character" w:customStyle="1" w:styleId="BodyTextChar">
    <w:name w:val="Body Text Char"/>
    <w:basedOn w:val="DefaultParagraphFont"/>
    <w:link w:val="BodyText"/>
    <w:rsid w:val="00D10934"/>
    <w:rPr>
      <w:rFonts w:ascii="Times Roman" w:eastAsia="Times New Roman" w:hAnsi="Times Roman" w:cs="Times New Roman"/>
      <w:i/>
      <w:spacing w:val="-3"/>
      <w:szCs w:val="20"/>
    </w:rPr>
  </w:style>
  <w:style w:type="character" w:customStyle="1" w:styleId="Heading2Char">
    <w:name w:val="Heading 2 Char"/>
    <w:basedOn w:val="DefaultParagraphFont"/>
    <w:link w:val="Heading2"/>
    <w:uiPriority w:val="9"/>
    <w:semiHidden/>
    <w:rsid w:val="0039436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A482C"/>
    <w:rPr>
      <w:color w:val="0000FF" w:themeColor="hyperlink"/>
      <w:u w:val="single"/>
    </w:rPr>
  </w:style>
  <w:style w:type="character" w:styleId="FollowedHyperlink">
    <w:name w:val="FollowedHyperlink"/>
    <w:basedOn w:val="DefaultParagraphFont"/>
    <w:uiPriority w:val="99"/>
    <w:semiHidden/>
    <w:unhideWhenUsed/>
    <w:rsid w:val="006D7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2355">
      <w:bodyDiv w:val="1"/>
      <w:marLeft w:val="0"/>
      <w:marRight w:val="0"/>
      <w:marTop w:val="0"/>
      <w:marBottom w:val="0"/>
      <w:divBdr>
        <w:top w:val="none" w:sz="0" w:space="0" w:color="auto"/>
        <w:left w:val="none" w:sz="0" w:space="0" w:color="auto"/>
        <w:bottom w:val="none" w:sz="0" w:space="0" w:color="auto"/>
        <w:right w:val="none" w:sz="0" w:space="0" w:color="auto"/>
      </w:divBdr>
    </w:div>
    <w:div w:id="1184899458">
      <w:bodyDiv w:val="1"/>
      <w:marLeft w:val="0"/>
      <w:marRight w:val="0"/>
      <w:marTop w:val="0"/>
      <w:marBottom w:val="0"/>
      <w:divBdr>
        <w:top w:val="none" w:sz="0" w:space="0" w:color="auto"/>
        <w:left w:val="none" w:sz="0" w:space="0" w:color="auto"/>
        <w:bottom w:val="none" w:sz="0" w:space="0" w:color="auto"/>
        <w:right w:val="none" w:sz="0" w:space="0" w:color="auto"/>
      </w:divBdr>
    </w:div>
    <w:div w:id="15029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2.mmu.ac.uk/media/mmuacuk/content/documents/research/sop/linked-documents/Protocol-Violation-Reporting-Form.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mmu.ac.uk/media/mmuacuk/content/documents/research/sop/linked-documents/SAE-Form.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lation.gov.uk/uksi/2002/618/contents/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mmu.ac.uk/media/mmuacuk/content/documents/research/sop/linked-documents/File-Note-Template.docx"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139565/dh_4122427.pdf" TargetMode="External"/><Relationship Id="rId10" Type="http://schemas.openxmlformats.org/officeDocument/2006/relationships/hyperlink" Target="http://www2.mmu.ac.uk/media/mmuacuk/content/documents/research/sop/linked-documents/Protocol-Violation-Reporting-Form.doc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2.mmu.ac.uk/media/mmuacuk/content/documents/research/sop/linked-documents/File-Note-Template.docx" TargetMode="External"/><Relationship Id="rId14" Type="http://schemas.openxmlformats.org/officeDocument/2006/relationships/hyperlink" Target="http://www2.mmu.ac.uk/media/mmuacuk/content/documents/research/sop/linked-documents/SAE-Form.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ADC5DF3-11C8-4A6B-B0EF-1E9B7EF38CCE}"/>
      </w:docPartPr>
      <w:docPartBody>
        <w:p w:rsidR="00BB3C9A" w:rsidRDefault="00BB3C9A">
          <w:r w:rsidRPr="00B255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9A"/>
    <w:rsid w:val="0036616B"/>
    <w:rsid w:val="008709B6"/>
    <w:rsid w:val="00A633F1"/>
    <w:rsid w:val="00BB3C9A"/>
    <w:rsid w:val="00ED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16B"/>
    <w:rPr>
      <w:color w:val="808080"/>
    </w:rPr>
  </w:style>
  <w:style w:type="paragraph" w:customStyle="1" w:styleId="A2BA3E328627448FAAFD2F0E53224DA8">
    <w:name w:val="A2BA3E328627448FAAFD2F0E53224DA8"/>
    <w:rsid w:val="00BB3C9A"/>
  </w:style>
  <w:style w:type="paragraph" w:customStyle="1" w:styleId="D7D25702867048DAA16660EA53517B94">
    <w:name w:val="D7D25702867048DAA16660EA53517B94"/>
    <w:rsid w:val="00BB3C9A"/>
  </w:style>
  <w:style w:type="paragraph" w:customStyle="1" w:styleId="61DADF8294B241FCA3737AEA438B059B">
    <w:name w:val="61DADF8294B241FCA3737AEA438B059B"/>
    <w:rsid w:val="00BB3C9A"/>
  </w:style>
  <w:style w:type="paragraph" w:customStyle="1" w:styleId="EE16A579E11C44A08930E73F42265FFB">
    <w:name w:val="EE16A579E11C44A08930E73F42265FFB"/>
    <w:rsid w:val="00BB3C9A"/>
  </w:style>
  <w:style w:type="paragraph" w:customStyle="1" w:styleId="2390F829B0DA47549BCEF844AA7C2C01">
    <w:name w:val="2390F829B0DA47549BCEF844AA7C2C01"/>
    <w:rsid w:val="00BB3C9A"/>
  </w:style>
  <w:style w:type="paragraph" w:customStyle="1" w:styleId="EE91C23FFD1B4B15867161CB54431EB8">
    <w:name w:val="EE91C23FFD1B4B15867161CB54431EB8"/>
    <w:rsid w:val="00BB3C9A"/>
  </w:style>
  <w:style w:type="paragraph" w:customStyle="1" w:styleId="398726014402497A88BD5B8EDB134611">
    <w:name w:val="398726014402497A88BD5B8EDB134611"/>
    <w:rsid w:val="00BB3C9A"/>
  </w:style>
  <w:style w:type="paragraph" w:customStyle="1" w:styleId="D438896C891F4662B261F96502E54C50">
    <w:name w:val="D438896C891F4662B261F96502E54C50"/>
    <w:rsid w:val="00BB3C9A"/>
  </w:style>
  <w:style w:type="paragraph" w:customStyle="1" w:styleId="DE54C0079EAD42A18A8CAE2450B1CCBA">
    <w:name w:val="DE54C0079EAD42A18A8CAE2450B1CCBA"/>
    <w:rsid w:val="00366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CAFB-0544-42E3-B014-9353C66E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mmu-user</dc:creator>
  <cp:lastModifiedBy>Zoe Lingard</cp:lastModifiedBy>
  <cp:revision>26</cp:revision>
  <dcterms:created xsi:type="dcterms:W3CDTF">2015-08-05T15:07:00Z</dcterms:created>
  <dcterms:modified xsi:type="dcterms:W3CDTF">2016-02-18T14:26:00Z</dcterms:modified>
</cp:coreProperties>
</file>