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ED" w:rsidRDefault="00B2717F" w:rsidP="00477FED">
      <w:pPr>
        <w:pStyle w:val="ListParagraph"/>
        <w:numPr>
          <w:ilvl w:val="0"/>
          <w:numId w:val="17"/>
        </w:numPr>
        <w:ind w:left="284"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Introduction and P</w:t>
      </w:r>
      <w:r w:rsidR="00717E4A" w:rsidRPr="002F08F9">
        <w:rPr>
          <w:b/>
          <w:sz w:val="24"/>
          <w:szCs w:val="24"/>
          <w:u w:val="single"/>
        </w:rPr>
        <w:t>urpose</w:t>
      </w:r>
    </w:p>
    <w:p w:rsidR="00477FED" w:rsidRPr="00477FED" w:rsidRDefault="00477FED" w:rsidP="00477FED">
      <w:pPr>
        <w:jc w:val="both"/>
        <w:rPr>
          <w:sz w:val="24"/>
          <w:szCs w:val="24"/>
        </w:rPr>
      </w:pPr>
      <w:r w:rsidRPr="00477FED">
        <w:rPr>
          <w:sz w:val="24"/>
          <w:szCs w:val="24"/>
        </w:rPr>
        <w:t xml:space="preserve">The University has two borehole </w:t>
      </w:r>
      <w:r w:rsidR="004D5AB2">
        <w:rPr>
          <w:sz w:val="24"/>
          <w:szCs w:val="24"/>
        </w:rPr>
        <w:t xml:space="preserve">systems </w:t>
      </w:r>
      <w:r w:rsidRPr="00477FED">
        <w:rPr>
          <w:sz w:val="24"/>
          <w:szCs w:val="24"/>
        </w:rPr>
        <w:t xml:space="preserve">used for heating/cooling and private water supply. These activities </w:t>
      </w:r>
      <w:proofErr w:type="gramStart"/>
      <w:r w:rsidRPr="00477FED">
        <w:rPr>
          <w:sz w:val="24"/>
          <w:szCs w:val="24"/>
        </w:rPr>
        <w:t>are authorized</w:t>
      </w:r>
      <w:proofErr w:type="gramEnd"/>
      <w:r w:rsidRPr="00477FED">
        <w:rPr>
          <w:sz w:val="24"/>
          <w:szCs w:val="24"/>
        </w:rPr>
        <w:t xml:space="preserve"> by the Environment Agency through abstraction licenses</w:t>
      </w:r>
      <w:r>
        <w:rPr>
          <w:sz w:val="24"/>
          <w:szCs w:val="24"/>
        </w:rPr>
        <w:t xml:space="preserve"> and </w:t>
      </w:r>
      <w:r w:rsidRPr="00477FED">
        <w:rPr>
          <w:sz w:val="24"/>
          <w:szCs w:val="24"/>
        </w:rPr>
        <w:t>environmental permits:</w:t>
      </w:r>
    </w:p>
    <w:p w:rsidR="006E0C22" w:rsidRDefault="00D115BB" w:rsidP="005E4AD8">
      <w:pPr>
        <w:pStyle w:val="ListParagraph"/>
        <w:numPr>
          <w:ilvl w:val="0"/>
          <w:numId w:val="24"/>
        </w:numPr>
        <w:ind w:right="-131"/>
        <w:jc w:val="both"/>
        <w:rPr>
          <w:sz w:val="24"/>
          <w:szCs w:val="24"/>
        </w:rPr>
      </w:pPr>
      <w:r w:rsidRPr="00D115BB">
        <w:rPr>
          <w:b/>
          <w:sz w:val="24"/>
          <w:szCs w:val="24"/>
        </w:rPr>
        <w:t>Business School</w:t>
      </w:r>
      <w:r w:rsidR="00B250B4">
        <w:rPr>
          <w:b/>
          <w:sz w:val="24"/>
          <w:szCs w:val="24"/>
        </w:rPr>
        <w:t xml:space="preserve"> </w:t>
      </w:r>
      <w:r w:rsidR="006E0C22" w:rsidRPr="006E0C22">
        <w:rPr>
          <w:sz w:val="24"/>
          <w:szCs w:val="24"/>
        </w:rPr>
        <w:t>-</w:t>
      </w:r>
      <w:r w:rsidR="006E0C22">
        <w:rPr>
          <w:sz w:val="24"/>
          <w:szCs w:val="24"/>
        </w:rPr>
        <w:t xml:space="preserve"> Abstraction License: </w:t>
      </w:r>
      <w:r w:rsidR="006E0C22" w:rsidRPr="00717E4A">
        <w:rPr>
          <w:sz w:val="24"/>
          <w:szCs w:val="24"/>
        </w:rPr>
        <w:t>NW/069/0006/003</w:t>
      </w:r>
      <w:r w:rsidR="006E0C22">
        <w:rPr>
          <w:sz w:val="24"/>
          <w:szCs w:val="24"/>
        </w:rPr>
        <w:t xml:space="preserve">; Permit: </w:t>
      </w:r>
      <w:r w:rsidR="006E0C22" w:rsidRPr="00717E4A">
        <w:rPr>
          <w:sz w:val="24"/>
          <w:szCs w:val="24"/>
        </w:rPr>
        <w:t>EPR/DP3526GN</w:t>
      </w:r>
      <w:proofErr w:type="gramStart"/>
      <w:r w:rsidR="006E0C22">
        <w:rPr>
          <w:sz w:val="24"/>
          <w:szCs w:val="24"/>
        </w:rPr>
        <w:t>;</w:t>
      </w:r>
      <w:proofErr w:type="gramEnd"/>
      <w:r w:rsidR="006E0C22">
        <w:rPr>
          <w:sz w:val="24"/>
          <w:szCs w:val="24"/>
        </w:rPr>
        <w:t xml:space="preserve"> issued in October 2010. </w:t>
      </w:r>
    </w:p>
    <w:p w:rsidR="006E0C22" w:rsidRDefault="006E0C22" w:rsidP="005E4AD8">
      <w:pPr>
        <w:pStyle w:val="ListParagraph"/>
        <w:numPr>
          <w:ilvl w:val="0"/>
          <w:numId w:val="24"/>
        </w:numPr>
        <w:ind w:right="-131"/>
        <w:jc w:val="both"/>
        <w:rPr>
          <w:sz w:val="24"/>
          <w:szCs w:val="24"/>
        </w:rPr>
      </w:pPr>
      <w:r w:rsidRPr="006E0C22">
        <w:rPr>
          <w:b/>
          <w:sz w:val="24"/>
          <w:szCs w:val="24"/>
        </w:rPr>
        <w:t>Birley Campus</w:t>
      </w:r>
      <w:r w:rsidR="00B250B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Abstraction License: NW/069/0004/003; Permit: </w:t>
      </w:r>
      <w:r w:rsidRPr="006E0C22">
        <w:rPr>
          <w:sz w:val="24"/>
          <w:szCs w:val="24"/>
        </w:rPr>
        <w:t>EPR/UB3936AX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issued in August/September 2013. </w:t>
      </w:r>
    </w:p>
    <w:p w:rsidR="008B3DC4" w:rsidRPr="006E0C22" w:rsidRDefault="008B3DC4" w:rsidP="005E4AD8">
      <w:pPr>
        <w:ind w:left="-142" w:right="-131"/>
        <w:jc w:val="both"/>
        <w:rPr>
          <w:sz w:val="24"/>
          <w:szCs w:val="24"/>
        </w:rPr>
      </w:pPr>
      <w:r w:rsidRPr="006E0C22">
        <w:rPr>
          <w:sz w:val="24"/>
          <w:szCs w:val="24"/>
        </w:rPr>
        <w:t>The license</w:t>
      </w:r>
      <w:r w:rsidR="006E0C22">
        <w:rPr>
          <w:sz w:val="24"/>
          <w:szCs w:val="24"/>
        </w:rPr>
        <w:t>s</w:t>
      </w:r>
      <w:r w:rsidRPr="006E0C22">
        <w:rPr>
          <w:sz w:val="24"/>
          <w:szCs w:val="24"/>
        </w:rPr>
        <w:t xml:space="preserve"> and permit</w:t>
      </w:r>
      <w:r w:rsidR="006E0C22">
        <w:rPr>
          <w:sz w:val="24"/>
          <w:szCs w:val="24"/>
        </w:rPr>
        <w:t>s</w:t>
      </w:r>
      <w:r w:rsidRPr="006E0C22">
        <w:rPr>
          <w:sz w:val="24"/>
          <w:szCs w:val="24"/>
        </w:rPr>
        <w:t xml:space="preserve"> place conditions </w:t>
      </w:r>
      <w:r w:rsidR="00B2717F" w:rsidRPr="006E0C22">
        <w:rPr>
          <w:sz w:val="24"/>
          <w:szCs w:val="24"/>
        </w:rPr>
        <w:t xml:space="preserve">and legal </w:t>
      </w:r>
      <w:r w:rsidR="004D5AB2">
        <w:rPr>
          <w:sz w:val="24"/>
          <w:szCs w:val="24"/>
        </w:rPr>
        <w:t>responsibilities on the University. This document outlines the U</w:t>
      </w:r>
      <w:r w:rsidRPr="006E0C22">
        <w:rPr>
          <w:sz w:val="24"/>
          <w:szCs w:val="24"/>
        </w:rPr>
        <w:t xml:space="preserve">niversity’s procedure to </w:t>
      </w:r>
      <w:r w:rsidR="00B2717F" w:rsidRPr="006E0C22">
        <w:rPr>
          <w:sz w:val="24"/>
          <w:szCs w:val="24"/>
        </w:rPr>
        <w:t>ensure</w:t>
      </w:r>
      <w:r w:rsidR="004D5AB2">
        <w:rPr>
          <w:sz w:val="24"/>
          <w:szCs w:val="24"/>
        </w:rPr>
        <w:t xml:space="preserve"> legal</w:t>
      </w:r>
      <w:r w:rsidR="00B2717F" w:rsidRPr="006E0C22">
        <w:rPr>
          <w:sz w:val="24"/>
          <w:szCs w:val="24"/>
        </w:rPr>
        <w:t xml:space="preserve"> compliance</w:t>
      </w:r>
      <w:r w:rsidR="004D5AB2">
        <w:rPr>
          <w:sz w:val="24"/>
          <w:szCs w:val="24"/>
        </w:rPr>
        <w:t>.</w:t>
      </w:r>
    </w:p>
    <w:p w:rsidR="008B3DC4" w:rsidRPr="002F08F9" w:rsidRDefault="006E0C22" w:rsidP="005E4AD8">
      <w:pPr>
        <w:pStyle w:val="ListParagraph"/>
        <w:numPr>
          <w:ilvl w:val="0"/>
          <w:numId w:val="17"/>
        </w:numPr>
        <w:ind w:left="284"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Requirements of</w:t>
      </w:r>
      <w:r w:rsidR="00C84939">
        <w:rPr>
          <w:b/>
          <w:sz w:val="24"/>
          <w:szCs w:val="24"/>
          <w:u w:val="single"/>
        </w:rPr>
        <w:t xml:space="preserve"> Abstraction </w:t>
      </w:r>
      <w:proofErr w:type="spellStart"/>
      <w:r w:rsidR="00C84939">
        <w:rPr>
          <w:b/>
          <w:sz w:val="24"/>
          <w:szCs w:val="24"/>
          <w:u w:val="single"/>
        </w:rPr>
        <w:t>Licenc</w:t>
      </w:r>
      <w:r w:rsidR="008B3DC4" w:rsidRPr="002F08F9">
        <w:rPr>
          <w:b/>
          <w:sz w:val="24"/>
          <w:szCs w:val="24"/>
          <w:u w:val="single"/>
        </w:rPr>
        <w:t>e</w:t>
      </w:r>
      <w:proofErr w:type="spellEnd"/>
      <w:r w:rsidR="008B3DC4" w:rsidRPr="002F08F9">
        <w:rPr>
          <w:b/>
          <w:sz w:val="24"/>
          <w:szCs w:val="24"/>
          <w:u w:val="single"/>
        </w:rPr>
        <w:t xml:space="preserve"> and Environmental Permit</w:t>
      </w:r>
    </w:p>
    <w:p w:rsidR="0002750C" w:rsidRPr="00C2487D" w:rsidRDefault="00B2717F" w:rsidP="005E4AD8">
      <w:pPr>
        <w:ind w:left="-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2.1 </w:t>
      </w:r>
      <w:r w:rsidR="00C84939">
        <w:rPr>
          <w:b/>
          <w:i/>
          <w:sz w:val="24"/>
          <w:szCs w:val="24"/>
        </w:rPr>
        <w:t xml:space="preserve">Abstraction </w:t>
      </w:r>
      <w:proofErr w:type="spellStart"/>
      <w:r w:rsidR="00C84939">
        <w:rPr>
          <w:b/>
          <w:i/>
          <w:sz w:val="24"/>
          <w:szCs w:val="24"/>
        </w:rPr>
        <w:t>Licenc</w:t>
      </w:r>
      <w:r w:rsidR="0002750C" w:rsidRPr="00C2487D">
        <w:rPr>
          <w:b/>
          <w:i/>
          <w:sz w:val="24"/>
          <w:szCs w:val="24"/>
        </w:rPr>
        <w:t>e</w:t>
      </w:r>
      <w:proofErr w:type="spellEnd"/>
      <w:r w:rsidR="0002750C" w:rsidRPr="00C2487D">
        <w:rPr>
          <w:b/>
          <w:i/>
          <w:sz w:val="24"/>
          <w:szCs w:val="24"/>
        </w:rPr>
        <w:t xml:space="preserve"> </w:t>
      </w:r>
      <w:r w:rsidR="00A266FE">
        <w:rPr>
          <w:b/>
          <w:i/>
          <w:sz w:val="24"/>
          <w:szCs w:val="24"/>
        </w:rPr>
        <w:t xml:space="preserve"> </w:t>
      </w:r>
    </w:p>
    <w:p w:rsidR="00717E4A" w:rsidRDefault="004D5AB2" w:rsidP="005E4AD8">
      <w:pPr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C84939">
        <w:rPr>
          <w:b/>
          <w:sz w:val="24"/>
          <w:szCs w:val="24"/>
        </w:rPr>
        <w:t xml:space="preserve">bstraction </w:t>
      </w:r>
      <w:r w:rsidR="004522A9">
        <w:rPr>
          <w:b/>
          <w:sz w:val="24"/>
          <w:szCs w:val="24"/>
        </w:rPr>
        <w:t>licens</w:t>
      </w:r>
      <w:r w:rsidR="004522A9" w:rsidRPr="0002750C">
        <w:rPr>
          <w:b/>
          <w:sz w:val="24"/>
          <w:szCs w:val="24"/>
        </w:rPr>
        <w:t>e</w:t>
      </w:r>
      <w:r w:rsidR="004522A9">
        <w:rPr>
          <w:b/>
          <w:sz w:val="24"/>
          <w:szCs w:val="24"/>
        </w:rPr>
        <w:t>s</w:t>
      </w:r>
      <w:r w:rsidR="00717E4A">
        <w:rPr>
          <w:sz w:val="24"/>
          <w:szCs w:val="24"/>
        </w:rPr>
        <w:t xml:space="preserve"> </w:t>
      </w:r>
      <w:proofErr w:type="gramStart"/>
      <w:r w:rsidR="006E0C22">
        <w:rPr>
          <w:sz w:val="24"/>
          <w:szCs w:val="24"/>
        </w:rPr>
        <w:t>are</w:t>
      </w:r>
      <w:r w:rsidR="0002750C">
        <w:rPr>
          <w:sz w:val="24"/>
          <w:szCs w:val="24"/>
        </w:rPr>
        <w:t xml:space="preserve"> issued</w:t>
      </w:r>
      <w:proofErr w:type="gramEnd"/>
      <w:r w:rsidR="0002750C">
        <w:rPr>
          <w:sz w:val="24"/>
          <w:szCs w:val="24"/>
        </w:rPr>
        <w:t xml:space="preserve"> under the Environment Act 1995, th</w:t>
      </w:r>
      <w:r w:rsidR="00406095">
        <w:rPr>
          <w:sz w:val="24"/>
          <w:szCs w:val="24"/>
        </w:rPr>
        <w:t xml:space="preserve">e </w:t>
      </w:r>
      <w:r w:rsidR="00EA3518">
        <w:rPr>
          <w:sz w:val="24"/>
          <w:szCs w:val="24"/>
        </w:rPr>
        <w:t>Water Act 2003</w:t>
      </w:r>
      <w:r w:rsidR="0002750C">
        <w:rPr>
          <w:sz w:val="24"/>
          <w:szCs w:val="24"/>
        </w:rPr>
        <w:t xml:space="preserve"> and the Water Resources (A</w:t>
      </w:r>
      <w:bookmarkStart w:id="0" w:name="_GoBack"/>
      <w:bookmarkEnd w:id="0"/>
      <w:r w:rsidR="0002750C">
        <w:rPr>
          <w:sz w:val="24"/>
          <w:szCs w:val="24"/>
        </w:rPr>
        <w:t>bstraction and Impounding) Regulations 2006</w:t>
      </w:r>
      <w:r w:rsidR="00EA3518">
        <w:rPr>
          <w:sz w:val="24"/>
          <w:szCs w:val="24"/>
        </w:rPr>
        <w:t xml:space="preserve"> (SI/2006/641)</w:t>
      </w:r>
      <w:r w:rsidR="0002750C">
        <w:rPr>
          <w:sz w:val="24"/>
          <w:szCs w:val="24"/>
        </w:rPr>
        <w:t xml:space="preserve">. Under the </w:t>
      </w:r>
      <w:r w:rsidR="00B2717F">
        <w:rPr>
          <w:sz w:val="24"/>
          <w:szCs w:val="24"/>
        </w:rPr>
        <w:t>license</w:t>
      </w:r>
      <w:r w:rsidR="00BF6959">
        <w:rPr>
          <w:sz w:val="24"/>
          <w:szCs w:val="24"/>
        </w:rPr>
        <w:t xml:space="preserve"> conditions</w:t>
      </w:r>
      <w:r w:rsidR="00B2717F">
        <w:rPr>
          <w:sz w:val="24"/>
          <w:szCs w:val="24"/>
        </w:rPr>
        <w:t>,</w:t>
      </w:r>
      <w:r w:rsidR="00EA3518">
        <w:rPr>
          <w:sz w:val="24"/>
          <w:szCs w:val="24"/>
        </w:rPr>
        <w:t xml:space="preserve"> the University</w:t>
      </w:r>
      <w:r w:rsidR="006D2431">
        <w:rPr>
          <w:sz w:val="24"/>
          <w:szCs w:val="24"/>
        </w:rPr>
        <w:t xml:space="preserve"> must ensure that the</w:t>
      </w:r>
      <w:r w:rsidR="0002750C">
        <w:rPr>
          <w:sz w:val="24"/>
          <w:szCs w:val="24"/>
        </w:rPr>
        <w:t xml:space="preserve"> maximum abstraction thresholds </w:t>
      </w:r>
      <w:r w:rsidR="006D2431">
        <w:rPr>
          <w:sz w:val="24"/>
          <w:szCs w:val="24"/>
        </w:rPr>
        <w:t xml:space="preserve">in Table 1 </w:t>
      </w:r>
      <w:proofErr w:type="gramStart"/>
      <w:r w:rsidR="006D2431">
        <w:rPr>
          <w:sz w:val="24"/>
          <w:szCs w:val="24"/>
        </w:rPr>
        <w:t>are not exceeded</w:t>
      </w:r>
      <w:proofErr w:type="gramEnd"/>
      <w:r w:rsidR="006D2431">
        <w:rPr>
          <w:sz w:val="24"/>
          <w:szCs w:val="24"/>
        </w:rPr>
        <w:t xml:space="preserve">. </w:t>
      </w:r>
    </w:p>
    <w:p w:rsidR="006D2431" w:rsidRPr="00C2487D" w:rsidRDefault="006D2431" w:rsidP="005E4AD8">
      <w:pPr>
        <w:spacing w:after="0"/>
        <w:jc w:val="both"/>
        <w:rPr>
          <w:i/>
        </w:rPr>
      </w:pPr>
      <w:r w:rsidRPr="00C2487D">
        <w:rPr>
          <w:b/>
          <w:i/>
        </w:rPr>
        <w:t>Table 1</w:t>
      </w:r>
      <w:r w:rsidRPr="00C2487D">
        <w:rPr>
          <w:i/>
        </w:rPr>
        <w:t xml:space="preserve">: Maximum quantities of water to </w:t>
      </w:r>
      <w:proofErr w:type="gramStart"/>
      <w:r w:rsidRPr="00C2487D">
        <w:rPr>
          <w:i/>
        </w:rPr>
        <w:t>be abstracted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1665"/>
        <w:gridCol w:w="1522"/>
        <w:gridCol w:w="1415"/>
        <w:gridCol w:w="1350"/>
        <w:gridCol w:w="1481"/>
      </w:tblGrid>
      <w:tr w:rsidR="006E0C22" w:rsidTr="00DE3CC2">
        <w:tc>
          <w:tcPr>
            <w:tcW w:w="1390" w:type="dxa"/>
            <w:shd w:val="clear" w:color="auto" w:fill="D9D9D9" w:themeFill="background1" w:themeFillShade="D9"/>
          </w:tcPr>
          <w:p w:rsidR="006E0C22" w:rsidRPr="007E65E9" w:rsidRDefault="006E0C22" w:rsidP="005E4AD8">
            <w:pPr>
              <w:jc w:val="both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E0C22" w:rsidRPr="007E65E9" w:rsidRDefault="006E0C22" w:rsidP="00B250B4">
            <w:pPr>
              <w:jc w:val="center"/>
              <w:rPr>
                <w:b/>
              </w:rPr>
            </w:pPr>
            <w:r w:rsidRPr="007E65E9">
              <w:rPr>
                <w:b/>
              </w:rPr>
              <w:t>Purpose of abstraction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6E0C22" w:rsidRPr="007E65E9" w:rsidRDefault="006E0C22" w:rsidP="00B250B4">
            <w:pPr>
              <w:jc w:val="center"/>
              <w:rPr>
                <w:b/>
              </w:rPr>
            </w:pPr>
            <w:r>
              <w:rPr>
                <w:b/>
              </w:rPr>
              <w:t>Instantaneous limit (l/s)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6E0C22" w:rsidRPr="007E65E9" w:rsidRDefault="006E0C22" w:rsidP="00B250B4">
            <w:pPr>
              <w:jc w:val="center"/>
              <w:rPr>
                <w:b/>
              </w:rPr>
            </w:pPr>
            <w:r w:rsidRPr="007E65E9">
              <w:rPr>
                <w:b/>
              </w:rPr>
              <w:t>Hourly limit (m</w:t>
            </w:r>
            <w:r w:rsidRPr="007E65E9">
              <w:rPr>
                <w:b/>
                <w:vertAlign w:val="superscript"/>
              </w:rPr>
              <w:t>3</w:t>
            </w:r>
            <w:r w:rsidRPr="007E65E9">
              <w:rPr>
                <w:b/>
              </w:rPr>
              <w:t>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6E0C22" w:rsidRPr="007E65E9" w:rsidRDefault="006E0C22" w:rsidP="00B250B4">
            <w:pPr>
              <w:jc w:val="center"/>
              <w:rPr>
                <w:b/>
              </w:rPr>
            </w:pPr>
            <w:r w:rsidRPr="007E65E9">
              <w:rPr>
                <w:b/>
              </w:rPr>
              <w:t>Daily limit (m</w:t>
            </w:r>
            <w:r w:rsidRPr="007E65E9">
              <w:rPr>
                <w:b/>
                <w:vertAlign w:val="superscript"/>
              </w:rPr>
              <w:t>3</w:t>
            </w:r>
            <w:r w:rsidRPr="007E65E9">
              <w:rPr>
                <w:b/>
              </w:rPr>
              <w:t>)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6E0C22" w:rsidRPr="007E65E9" w:rsidRDefault="006E0C22" w:rsidP="00B250B4">
            <w:pPr>
              <w:jc w:val="center"/>
              <w:rPr>
                <w:b/>
              </w:rPr>
            </w:pPr>
            <w:r w:rsidRPr="007E65E9">
              <w:rPr>
                <w:b/>
              </w:rPr>
              <w:t>Annual limit (m</w:t>
            </w:r>
            <w:r w:rsidRPr="007E65E9">
              <w:rPr>
                <w:b/>
                <w:vertAlign w:val="superscript"/>
              </w:rPr>
              <w:t>3</w:t>
            </w:r>
            <w:r w:rsidRPr="007E65E9">
              <w:rPr>
                <w:b/>
              </w:rPr>
              <w:t>)</w:t>
            </w:r>
          </w:p>
        </w:tc>
      </w:tr>
      <w:tr w:rsidR="00DE3CC2" w:rsidTr="00DE3CC2">
        <w:tc>
          <w:tcPr>
            <w:tcW w:w="1390" w:type="dxa"/>
            <w:vMerge w:val="restart"/>
          </w:tcPr>
          <w:p w:rsidR="00DE3CC2" w:rsidRPr="007E65E9" w:rsidRDefault="00B250B4" w:rsidP="005E4AD8">
            <w:pPr>
              <w:jc w:val="both"/>
            </w:pPr>
            <w:r>
              <w:t>Business School</w:t>
            </w:r>
          </w:p>
          <w:p w:rsidR="00DE3CC2" w:rsidRPr="007E65E9" w:rsidRDefault="00DE3CC2" w:rsidP="005E4AD8">
            <w:pPr>
              <w:jc w:val="both"/>
            </w:pPr>
          </w:p>
        </w:tc>
        <w:tc>
          <w:tcPr>
            <w:tcW w:w="1702" w:type="dxa"/>
          </w:tcPr>
          <w:p w:rsidR="00DE3CC2" w:rsidRPr="007E65E9" w:rsidRDefault="00DE3CC2" w:rsidP="005E4AD8">
            <w:pPr>
              <w:jc w:val="both"/>
            </w:pPr>
            <w:r w:rsidRPr="007E65E9">
              <w:t>General non-potable use</w:t>
            </w:r>
          </w:p>
        </w:tc>
        <w:tc>
          <w:tcPr>
            <w:tcW w:w="1522" w:type="dxa"/>
          </w:tcPr>
          <w:p w:rsidR="00DE3CC2" w:rsidRPr="007E65E9" w:rsidRDefault="00DE3CC2" w:rsidP="005E4AD8">
            <w:pPr>
              <w:jc w:val="both"/>
            </w:pPr>
            <w:r>
              <w:t>NA</w:t>
            </w:r>
          </w:p>
        </w:tc>
        <w:tc>
          <w:tcPr>
            <w:tcW w:w="1467" w:type="dxa"/>
          </w:tcPr>
          <w:p w:rsidR="00DE3CC2" w:rsidRPr="007E65E9" w:rsidRDefault="0062297F" w:rsidP="005E4AD8">
            <w:pPr>
              <w:jc w:val="both"/>
            </w:pPr>
            <w:r>
              <w:t>6</w:t>
            </w:r>
          </w:p>
        </w:tc>
        <w:tc>
          <w:tcPr>
            <w:tcW w:w="1406" w:type="dxa"/>
          </w:tcPr>
          <w:p w:rsidR="00DE3CC2" w:rsidRPr="007E65E9" w:rsidRDefault="00DE3CC2" w:rsidP="005E4AD8">
            <w:pPr>
              <w:jc w:val="both"/>
            </w:pPr>
            <w:r w:rsidRPr="007E65E9">
              <w:t>20</w:t>
            </w:r>
          </w:p>
        </w:tc>
        <w:tc>
          <w:tcPr>
            <w:tcW w:w="1529" w:type="dxa"/>
          </w:tcPr>
          <w:p w:rsidR="00DE3CC2" w:rsidRPr="007E65E9" w:rsidRDefault="00DE3CC2" w:rsidP="005E4AD8">
            <w:pPr>
              <w:jc w:val="both"/>
            </w:pPr>
            <w:r w:rsidRPr="007E65E9">
              <w:t>7,300</w:t>
            </w:r>
          </w:p>
        </w:tc>
      </w:tr>
      <w:tr w:rsidR="00DE3CC2" w:rsidTr="00DE3CC2">
        <w:tc>
          <w:tcPr>
            <w:tcW w:w="1390" w:type="dxa"/>
            <w:vMerge/>
          </w:tcPr>
          <w:p w:rsidR="00DE3CC2" w:rsidRPr="007E65E9" w:rsidRDefault="00DE3CC2" w:rsidP="005E4AD8">
            <w:pPr>
              <w:jc w:val="both"/>
            </w:pPr>
          </w:p>
        </w:tc>
        <w:tc>
          <w:tcPr>
            <w:tcW w:w="1702" w:type="dxa"/>
          </w:tcPr>
          <w:p w:rsidR="00DE3CC2" w:rsidRPr="007E65E9" w:rsidRDefault="00DE3CC2" w:rsidP="005E4AD8">
            <w:pPr>
              <w:jc w:val="both"/>
            </w:pPr>
            <w:r w:rsidRPr="007E65E9">
              <w:t>Ground source heat pump</w:t>
            </w:r>
          </w:p>
        </w:tc>
        <w:tc>
          <w:tcPr>
            <w:tcW w:w="1522" w:type="dxa"/>
          </w:tcPr>
          <w:p w:rsidR="00DE3CC2" w:rsidRPr="007E65E9" w:rsidRDefault="00DE3CC2" w:rsidP="005E4AD8">
            <w:pPr>
              <w:jc w:val="both"/>
            </w:pPr>
            <w:r>
              <w:t>NA</w:t>
            </w:r>
          </w:p>
        </w:tc>
        <w:tc>
          <w:tcPr>
            <w:tcW w:w="1467" w:type="dxa"/>
          </w:tcPr>
          <w:p w:rsidR="00DE3CC2" w:rsidRPr="007E65E9" w:rsidRDefault="00DE3CC2" w:rsidP="005E4AD8">
            <w:pPr>
              <w:jc w:val="both"/>
            </w:pPr>
            <w:r w:rsidRPr="007E65E9">
              <w:t>63</w:t>
            </w:r>
          </w:p>
        </w:tc>
        <w:tc>
          <w:tcPr>
            <w:tcW w:w="1406" w:type="dxa"/>
          </w:tcPr>
          <w:p w:rsidR="00DE3CC2" w:rsidRPr="007E65E9" w:rsidRDefault="00DE3CC2" w:rsidP="005E4AD8">
            <w:pPr>
              <w:jc w:val="both"/>
            </w:pPr>
            <w:r w:rsidRPr="007E65E9">
              <w:t>1,512</w:t>
            </w:r>
          </w:p>
        </w:tc>
        <w:tc>
          <w:tcPr>
            <w:tcW w:w="1529" w:type="dxa"/>
          </w:tcPr>
          <w:p w:rsidR="00DE3CC2" w:rsidRPr="007E65E9" w:rsidRDefault="00DE3CC2" w:rsidP="005E4AD8">
            <w:pPr>
              <w:jc w:val="both"/>
            </w:pPr>
            <w:r w:rsidRPr="007E65E9">
              <w:t>275,940</w:t>
            </w:r>
          </w:p>
        </w:tc>
      </w:tr>
      <w:tr w:rsidR="00DE3CC2" w:rsidTr="00DE3CC2">
        <w:tc>
          <w:tcPr>
            <w:tcW w:w="1390" w:type="dxa"/>
            <w:vMerge w:val="restart"/>
          </w:tcPr>
          <w:p w:rsidR="00DE3CC2" w:rsidRDefault="00DE3CC2" w:rsidP="005E4AD8">
            <w:pPr>
              <w:jc w:val="both"/>
            </w:pPr>
            <w:r>
              <w:t>Birley</w:t>
            </w:r>
          </w:p>
        </w:tc>
        <w:tc>
          <w:tcPr>
            <w:tcW w:w="1702" w:type="dxa"/>
          </w:tcPr>
          <w:p w:rsidR="00DE3CC2" w:rsidRPr="007E65E9" w:rsidRDefault="00DE3CC2" w:rsidP="005E4AD8">
            <w:pPr>
              <w:jc w:val="both"/>
            </w:pPr>
            <w:r>
              <w:t>Ground source cooling</w:t>
            </w:r>
          </w:p>
        </w:tc>
        <w:tc>
          <w:tcPr>
            <w:tcW w:w="1522" w:type="dxa"/>
          </w:tcPr>
          <w:p w:rsidR="00DE3CC2" w:rsidRPr="007E65E9" w:rsidRDefault="00DE3CC2" w:rsidP="005E4AD8">
            <w:pPr>
              <w:jc w:val="both"/>
            </w:pPr>
            <w:r>
              <w:t>7</w:t>
            </w:r>
          </w:p>
        </w:tc>
        <w:tc>
          <w:tcPr>
            <w:tcW w:w="1467" w:type="dxa"/>
          </w:tcPr>
          <w:p w:rsidR="00DE3CC2" w:rsidRPr="007E65E9" w:rsidRDefault="00DE3CC2" w:rsidP="005E4AD8">
            <w:pPr>
              <w:jc w:val="both"/>
            </w:pPr>
            <w:r>
              <w:t>25.5</w:t>
            </w:r>
          </w:p>
        </w:tc>
        <w:tc>
          <w:tcPr>
            <w:tcW w:w="1406" w:type="dxa"/>
          </w:tcPr>
          <w:p w:rsidR="00DE3CC2" w:rsidRPr="007E65E9" w:rsidRDefault="00DE3CC2" w:rsidP="005E4AD8">
            <w:pPr>
              <w:jc w:val="both"/>
            </w:pPr>
            <w:r>
              <w:t>604.8</w:t>
            </w:r>
          </w:p>
        </w:tc>
        <w:tc>
          <w:tcPr>
            <w:tcW w:w="1529" w:type="dxa"/>
          </w:tcPr>
          <w:p w:rsidR="00DE3CC2" w:rsidRPr="007E65E9" w:rsidRDefault="00DE3CC2" w:rsidP="005E4AD8">
            <w:pPr>
              <w:jc w:val="both"/>
            </w:pPr>
            <w:r>
              <w:t>220,752</w:t>
            </w:r>
          </w:p>
        </w:tc>
      </w:tr>
      <w:tr w:rsidR="00DE3CC2" w:rsidTr="00DE3CC2">
        <w:tc>
          <w:tcPr>
            <w:tcW w:w="1390" w:type="dxa"/>
            <w:vMerge/>
          </w:tcPr>
          <w:p w:rsidR="00DE3CC2" w:rsidRDefault="00DE3CC2" w:rsidP="005E4AD8">
            <w:pPr>
              <w:jc w:val="both"/>
            </w:pPr>
          </w:p>
        </w:tc>
        <w:tc>
          <w:tcPr>
            <w:tcW w:w="1702" w:type="dxa"/>
          </w:tcPr>
          <w:p w:rsidR="00DE3CC2" w:rsidRPr="007E65E9" w:rsidRDefault="00DE3CC2" w:rsidP="005E4AD8">
            <w:pPr>
              <w:jc w:val="both"/>
            </w:pPr>
            <w:r>
              <w:t>General domestic</w:t>
            </w:r>
          </w:p>
        </w:tc>
        <w:tc>
          <w:tcPr>
            <w:tcW w:w="1522" w:type="dxa"/>
          </w:tcPr>
          <w:p w:rsidR="00DE3CC2" w:rsidRPr="007E65E9" w:rsidRDefault="00DE3CC2" w:rsidP="005E4AD8">
            <w:pPr>
              <w:jc w:val="both"/>
            </w:pPr>
            <w:r>
              <w:t>1.84</w:t>
            </w:r>
          </w:p>
        </w:tc>
        <w:tc>
          <w:tcPr>
            <w:tcW w:w="1467" w:type="dxa"/>
          </w:tcPr>
          <w:p w:rsidR="00DE3CC2" w:rsidRPr="007E65E9" w:rsidRDefault="00DE3CC2" w:rsidP="005E4AD8">
            <w:pPr>
              <w:jc w:val="both"/>
            </w:pPr>
            <w:r>
              <w:t>6.7</w:t>
            </w:r>
          </w:p>
        </w:tc>
        <w:tc>
          <w:tcPr>
            <w:tcW w:w="1406" w:type="dxa"/>
          </w:tcPr>
          <w:p w:rsidR="00DE3CC2" w:rsidRPr="007E65E9" w:rsidRDefault="00DE3CC2" w:rsidP="005E4AD8">
            <w:pPr>
              <w:jc w:val="both"/>
            </w:pPr>
            <w:r>
              <w:t>146.2</w:t>
            </w:r>
          </w:p>
        </w:tc>
        <w:tc>
          <w:tcPr>
            <w:tcW w:w="1529" w:type="dxa"/>
          </w:tcPr>
          <w:p w:rsidR="00DE3CC2" w:rsidRPr="007E65E9" w:rsidRDefault="00DE3CC2" w:rsidP="005E4AD8">
            <w:pPr>
              <w:jc w:val="both"/>
            </w:pPr>
            <w:r>
              <w:t>53,363</w:t>
            </w:r>
          </w:p>
        </w:tc>
      </w:tr>
    </w:tbl>
    <w:p w:rsidR="00B2717F" w:rsidRDefault="00BF6959" w:rsidP="005E4AD8">
      <w:pPr>
        <w:spacing w:before="200"/>
        <w:ind w:left="-142" w:right="-1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MMU must also ensure that </w:t>
      </w:r>
      <w:r w:rsidR="007E65E9">
        <w:rPr>
          <w:sz w:val="24"/>
          <w:szCs w:val="24"/>
        </w:rPr>
        <w:t>meter reading</w:t>
      </w:r>
      <w:r w:rsidR="004D5AB2">
        <w:rPr>
          <w:sz w:val="24"/>
          <w:szCs w:val="24"/>
        </w:rPr>
        <w:t xml:space="preserve">s </w:t>
      </w:r>
      <w:proofErr w:type="gramStart"/>
      <w:r w:rsidR="004D5AB2">
        <w:rPr>
          <w:sz w:val="24"/>
          <w:szCs w:val="24"/>
        </w:rPr>
        <w:t>are</w:t>
      </w:r>
      <w:r w:rsidR="006D2431">
        <w:rPr>
          <w:sz w:val="24"/>
          <w:szCs w:val="24"/>
        </w:rPr>
        <w:t xml:space="preserve"> taken</w:t>
      </w:r>
      <w:proofErr w:type="gramEnd"/>
      <w:r w:rsidR="006D2431">
        <w:rPr>
          <w:sz w:val="24"/>
          <w:szCs w:val="24"/>
        </w:rPr>
        <w:t xml:space="preserve"> </w:t>
      </w:r>
      <w:r w:rsidR="007E65E9">
        <w:rPr>
          <w:sz w:val="24"/>
          <w:szCs w:val="24"/>
        </w:rPr>
        <w:t>monthly and records must</w:t>
      </w:r>
      <w:r w:rsidR="00AB45BC">
        <w:rPr>
          <w:sz w:val="24"/>
          <w:szCs w:val="24"/>
        </w:rPr>
        <w:t xml:space="preserve"> sent to the</w:t>
      </w:r>
      <w:r w:rsidR="00B2717F">
        <w:rPr>
          <w:sz w:val="24"/>
          <w:szCs w:val="24"/>
        </w:rPr>
        <w:t xml:space="preserve"> Environment Agency</w:t>
      </w:r>
      <w:r w:rsidR="00AB45BC">
        <w:rPr>
          <w:sz w:val="24"/>
          <w:szCs w:val="24"/>
        </w:rPr>
        <w:t xml:space="preserve"> in April each year. Records </w:t>
      </w:r>
      <w:proofErr w:type="gramStart"/>
      <w:r w:rsidR="00AB45BC">
        <w:rPr>
          <w:sz w:val="24"/>
          <w:szCs w:val="24"/>
        </w:rPr>
        <w:t>should be kept</w:t>
      </w:r>
      <w:proofErr w:type="gramEnd"/>
      <w:r w:rsidR="00AB45BC">
        <w:rPr>
          <w:sz w:val="24"/>
          <w:szCs w:val="24"/>
        </w:rPr>
        <w:t xml:space="preserve"> for at least 7 years. </w:t>
      </w:r>
    </w:p>
    <w:p w:rsidR="00BF6959" w:rsidRDefault="00BF6959" w:rsidP="005E4AD8">
      <w:pPr>
        <w:spacing w:before="200"/>
        <w:ind w:left="-142" w:right="-131"/>
        <w:jc w:val="both"/>
        <w:rPr>
          <w:sz w:val="24"/>
          <w:szCs w:val="24"/>
        </w:rPr>
      </w:pPr>
    </w:p>
    <w:p w:rsidR="00AB45BC" w:rsidRPr="00B2717F" w:rsidRDefault="00B2717F" w:rsidP="00B250B4">
      <w:pPr>
        <w:spacing w:before="200" w:after="0"/>
        <w:ind w:left="-142" w:right="-13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2.2 </w:t>
      </w:r>
      <w:r w:rsidR="00AB45BC" w:rsidRPr="00C2487D">
        <w:rPr>
          <w:b/>
          <w:i/>
          <w:sz w:val="24"/>
          <w:szCs w:val="24"/>
        </w:rPr>
        <w:t>Environmental Permit</w:t>
      </w:r>
    </w:p>
    <w:p w:rsidR="00585B2C" w:rsidRDefault="00BF6959" w:rsidP="00B250B4">
      <w:pPr>
        <w:spacing w:before="240"/>
        <w:ind w:left="-142" w:right="-131"/>
        <w:jc w:val="both"/>
        <w:rPr>
          <w:sz w:val="24"/>
          <w:szCs w:val="24"/>
        </w:rPr>
      </w:pPr>
      <w:r w:rsidRPr="00BF6959">
        <w:rPr>
          <w:b/>
          <w:sz w:val="24"/>
          <w:szCs w:val="24"/>
        </w:rPr>
        <w:t>Environmental Permits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</w:t>
      </w:r>
      <w:r w:rsidR="005E4AD8">
        <w:rPr>
          <w:sz w:val="24"/>
          <w:szCs w:val="24"/>
        </w:rPr>
        <w:t xml:space="preserve"> issued</w:t>
      </w:r>
      <w:proofErr w:type="gramEnd"/>
      <w:r w:rsidR="005E4AD8">
        <w:rPr>
          <w:sz w:val="24"/>
          <w:szCs w:val="24"/>
        </w:rPr>
        <w:t xml:space="preserve"> under the Environmental Permitting (England and Wales) Regulation</w:t>
      </w:r>
      <w:r w:rsidR="00EA3518">
        <w:rPr>
          <w:sz w:val="24"/>
          <w:szCs w:val="24"/>
        </w:rPr>
        <w:t>s 2016</w:t>
      </w:r>
      <w:r>
        <w:rPr>
          <w:sz w:val="24"/>
          <w:szCs w:val="24"/>
        </w:rPr>
        <w:t xml:space="preserve">. In order to comply with the permit conditions, the University must ensure the operation of each borehole </w:t>
      </w:r>
      <w:proofErr w:type="gramStart"/>
      <w:r>
        <w:rPr>
          <w:sz w:val="24"/>
          <w:szCs w:val="24"/>
        </w:rPr>
        <w:t>is kept</w:t>
      </w:r>
      <w:proofErr w:type="gramEnd"/>
      <w:r>
        <w:rPr>
          <w:sz w:val="24"/>
          <w:szCs w:val="24"/>
        </w:rPr>
        <w:t xml:space="preserve"> within the </w:t>
      </w:r>
      <w:r w:rsidR="00730C7B">
        <w:rPr>
          <w:sz w:val="24"/>
          <w:szCs w:val="24"/>
        </w:rPr>
        <w:t xml:space="preserve">limits specified in the table below. </w:t>
      </w:r>
      <w:r>
        <w:rPr>
          <w:sz w:val="24"/>
          <w:szCs w:val="24"/>
        </w:rPr>
        <w:t xml:space="preserve">  </w:t>
      </w:r>
    </w:p>
    <w:p w:rsidR="00585B2C" w:rsidRPr="00C2487D" w:rsidRDefault="00036B09" w:rsidP="005E4AD8">
      <w:pPr>
        <w:spacing w:before="200" w:after="0"/>
        <w:ind w:left="-142" w:right="-131"/>
        <w:jc w:val="both"/>
        <w:rPr>
          <w:i/>
        </w:rPr>
      </w:pPr>
      <w:r w:rsidRPr="00C2487D">
        <w:rPr>
          <w:b/>
          <w:i/>
        </w:rPr>
        <w:t>Table 2</w:t>
      </w:r>
      <w:r w:rsidRPr="00C2487D">
        <w:rPr>
          <w:i/>
        </w:rPr>
        <w:t>: Environmental permit – point source emissions limits and monitoring requirements</w:t>
      </w:r>
    </w:p>
    <w:tbl>
      <w:tblPr>
        <w:tblStyle w:val="TableGrid"/>
        <w:tblW w:w="9957" w:type="dxa"/>
        <w:jc w:val="center"/>
        <w:tblLook w:val="04A0" w:firstRow="1" w:lastRow="0" w:firstColumn="1" w:lastColumn="0" w:noHBand="0" w:noVBand="1"/>
      </w:tblPr>
      <w:tblGrid>
        <w:gridCol w:w="988"/>
        <w:gridCol w:w="2348"/>
        <w:gridCol w:w="1184"/>
        <w:gridCol w:w="1413"/>
        <w:gridCol w:w="1490"/>
        <w:gridCol w:w="1248"/>
        <w:gridCol w:w="1286"/>
      </w:tblGrid>
      <w:tr w:rsidR="00DE3CC2" w:rsidTr="0059015B">
        <w:trPr>
          <w:cantSplit/>
          <w:tblHeader/>
          <w:jc w:val="center"/>
        </w:trPr>
        <w:tc>
          <w:tcPr>
            <w:tcW w:w="989" w:type="dxa"/>
            <w:shd w:val="clear" w:color="auto" w:fill="D9D9D9" w:themeFill="background1" w:themeFillShade="D9"/>
          </w:tcPr>
          <w:p w:rsidR="00DE3CC2" w:rsidRPr="00036B09" w:rsidRDefault="00DE3CC2" w:rsidP="005E4AD8">
            <w:pPr>
              <w:spacing w:before="200"/>
              <w:ind w:right="-131"/>
              <w:jc w:val="both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:rsidR="00DE3CC2" w:rsidRPr="00036B09" w:rsidRDefault="00DE3CC2" w:rsidP="00B250B4">
            <w:pPr>
              <w:spacing w:before="200"/>
              <w:ind w:right="-131"/>
              <w:jc w:val="center"/>
              <w:rPr>
                <w:b/>
              </w:rPr>
            </w:pPr>
            <w:r w:rsidRPr="00036B09">
              <w:rPr>
                <w:b/>
              </w:rPr>
              <w:t>Effluent and discharge point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DE3CC2" w:rsidRPr="00036B09" w:rsidRDefault="00DE3CC2" w:rsidP="00B250B4">
            <w:pPr>
              <w:spacing w:before="200"/>
              <w:ind w:right="-131"/>
              <w:jc w:val="center"/>
              <w:rPr>
                <w:b/>
              </w:rPr>
            </w:pPr>
            <w:r w:rsidRPr="00036B09">
              <w:rPr>
                <w:b/>
              </w:rPr>
              <w:t>Parameter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DE3CC2" w:rsidRPr="00036B09" w:rsidRDefault="00DE3CC2" w:rsidP="00B250B4">
            <w:pPr>
              <w:spacing w:before="200"/>
              <w:ind w:right="-131"/>
              <w:jc w:val="center"/>
              <w:rPr>
                <w:b/>
              </w:rPr>
            </w:pPr>
            <w:r w:rsidRPr="00036B09">
              <w:rPr>
                <w:b/>
              </w:rPr>
              <w:t>Limit/unit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DE3CC2" w:rsidRPr="00036B09" w:rsidRDefault="00DE3CC2" w:rsidP="00B250B4">
            <w:pPr>
              <w:spacing w:before="200"/>
              <w:ind w:right="-131"/>
              <w:jc w:val="center"/>
              <w:rPr>
                <w:b/>
              </w:rPr>
            </w:pPr>
            <w:r w:rsidRPr="00036B09">
              <w:rPr>
                <w:b/>
              </w:rPr>
              <w:t>Reference period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DE3CC2" w:rsidRPr="00036B09" w:rsidRDefault="00DE3CC2" w:rsidP="00B250B4">
            <w:pPr>
              <w:spacing w:before="200"/>
              <w:ind w:right="-131"/>
              <w:jc w:val="center"/>
              <w:rPr>
                <w:b/>
              </w:rPr>
            </w:pPr>
            <w:r w:rsidRPr="00036B09">
              <w:rPr>
                <w:b/>
              </w:rPr>
              <w:t>Monitoring frequency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DE3CC2" w:rsidRPr="00036B09" w:rsidRDefault="00DE3CC2" w:rsidP="00B250B4">
            <w:pPr>
              <w:spacing w:before="200"/>
              <w:ind w:right="-131"/>
              <w:jc w:val="center"/>
              <w:rPr>
                <w:b/>
              </w:rPr>
            </w:pPr>
            <w:r w:rsidRPr="00036B09">
              <w:rPr>
                <w:b/>
              </w:rPr>
              <w:t>Compliance statistic</w:t>
            </w:r>
          </w:p>
        </w:tc>
      </w:tr>
      <w:tr w:rsidR="00DE3CC2" w:rsidTr="0059015B">
        <w:trPr>
          <w:cantSplit/>
          <w:trHeight w:val="969"/>
          <w:tblHeader/>
          <w:jc w:val="center"/>
        </w:trPr>
        <w:tc>
          <w:tcPr>
            <w:tcW w:w="989" w:type="dxa"/>
            <w:vMerge w:val="restart"/>
          </w:tcPr>
          <w:p w:rsidR="00DE3CC2" w:rsidRPr="00036B09" w:rsidRDefault="00B250B4" w:rsidP="005E4AD8">
            <w:pPr>
              <w:spacing w:before="200"/>
              <w:jc w:val="both"/>
            </w:pPr>
            <w:r>
              <w:t>Business School</w:t>
            </w:r>
          </w:p>
        </w:tc>
        <w:tc>
          <w:tcPr>
            <w:tcW w:w="2709" w:type="dxa"/>
            <w:vMerge w:val="restart"/>
          </w:tcPr>
          <w:p w:rsidR="00DE3CC2" w:rsidRPr="00036B09" w:rsidRDefault="00DE3CC2" w:rsidP="00B250B4">
            <w:pPr>
              <w:spacing w:before="200"/>
            </w:pPr>
            <w:r w:rsidRPr="00036B09">
              <w:t>Abstracted groundwater used in heat exchanger discharged to ground</w:t>
            </w:r>
          </w:p>
        </w:tc>
        <w:tc>
          <w:tcPr>
            <w:tcW w:w="937" w:type="dxa"/>
          </w:tcPr>
          <w:p w:rsidR="00DE3CC2" w:rsidRPr="00036B09" w:rsidRDefault="00DE3CC2" w:rsidP="00B250B4">
            <w:pPr>
              <w:spacing w:before="200"/>
              <w:ind w:right="-131"/>
            </w:pPr>
            <w:r w:rsidRPr="00036B09">
              <w:t>Flow</w:t>
            </w:r>
          </w:p>
        </w:tc>
        <w:tc>
          <w:tcPr>
            <w:tcW w:w="1381" w:type="dxa"/>
          </w:tcPr>
          <w:p w:rsidR="00DE3CC2" w:rsidRPr="00036B09" w:rsidRDefault="00DE3CC2" w:rsidP="00B250B4">
            <w:pPr>
              <w:spacing w:before="200"/>
              <w:ind w:right="-131"/>
            </w:pPr>
            <w:r w:rsidRPr="00036B09">
              <w:t>1,512  m3/day</w:t>
            </w:r>
            <w:r w:rsidRPr="00DD70E3">
              <w:rPr>
                <w:vertAlign w:val="superscript"/>
              </w:rPr>
              <w:t>1</w:t>
            </w:r>
          </w:p>
        </w:tc>
        <w:tc>
          <w:tcPr>
            <w:tcW w:w="1490" w:type="dxa"/>
          </w:tcPr>
          <w:p w:rsidR="00DE3CC2" w:rsidRPr="00036B09" w:rsidRDefault="00DE3CC2" w:rsidP="00B250B4">
            <w:pPr>
              <w:spacing w:before="200"/>
            </w:pPr>
            <w:r w:rsidRPr="00036B09">
              <w:t>Instantaneous (spot sample)</w:t>
            </w:r>
          </w:p>
        </w:tc>
        <w:tc>
          <w:tcPr>
            <w:tcW w:w="1193" w:type="dxa"/>
          </w:tcPr>
          <w:p w:rsidR="00DE3CC2" w:rsidRPr="00036B09" w:rsidRDefault="00DE3CC2" w:rsidP="00B250B4">
            <w:pPr>
              <w:spacing w:before="200"/>
              <w:ind w:right="-131"/>
            </w:pPr>
            <w:r w:rsidRPr="00036B09">
              <w:t>Daily</w:t>
            </w:r>
          </w:p>
        </w:tc>
        <w:tc>
          <w:tcPr>
            <w:tcW w:w="1258" w:type="dxa"/>
          </w:tcPr>
          <w:p w:rsidR="00DE3CC2" w:rsidRPr="00036B09" w:rsidRDefault="00DE3CC2" w:rsidP="00B250B4">
            <w:pPr>
              <w:spacing w:before="200"/>
              <w:ind w:right="-131"/>
            </w:pPr>
            <w:r w:rsidRPr="00036B09">
              <w:t>Maximum</w:t>
            </w:r>
          </w:p>
        </w:tc>
      </w:tr>
      <w:tr w:rsidR="00DE3CC2" w:rsidTr="0059015B">
        <w:trPr>
          <w:cantSplit/>
          <w:tblHeader/>
          <w:jc w:val="center"/>
        </w:trPr>
        <w:tc>
          <w:tcPr>
            <w:tcW w:w="989" w:type="dxa"/>
            <w:vMerge/>
          </w:tcPr>
          <w:p w:rsidR="00DE3CC2" w:rsidRPr="00036B09" w:rsidRDefault="00DE3CC2" w:rsidP="005E4AD8">
            <w:pPr>
              <w:spacing w:before="200"/>
              <w:ind w:right="-131"/>
              <w:jc w:val="both"/>
            </w:pPr>
          </w:p>
        </w:tc>
        <w:tc>
          <w:tcPr>
            <w:tcW w:w="2709" w:type="dxa"/>
            <w:vMerge/>
          </w:tcPr>
          <w:p w:rsidR="00DE3CC2" w:rsidRPr="00036B09" w:rsidRDefault="00DE3CC2" w:rsidP="00B250B4">
            <w:pPr>
              <w:spacing w:before="200"/>
              <w:ind w:right="-131"/>
            </w:pPr>
          </w:p>
        </w:tc>
        <w:tc>
          <w:tcPr>
            <w:tcW w:w="937" w:type="dxa"/>
          </w:tcPr>
          <w:p w:rsidR="00DE3CC2" w:rsidRPr="00036B09" w:rsidRDefault="00DE3CC2" w:rsidP="00B250B4">
            <w:pPr>
              <w:spacing w:before="200"/>
              <w:ind w:right="-131"/>
            </w:pPr>
            <w:r w:rsidRPr="00036B09">
              <w:t>Temp.</w:t>
            </w:r>
          </w:p>
        </w:tc>
        <w:tc>
          <w:tcPr>
            <w:tcW w:w="1381" w:type="dxa"/>
          </w:tcPr>
          <w:p w:rsidR="00DE3CC2" w:rsidRPr="00036B09" w:rsidRDefault="00DE3CC2" w:rsidP="00B250B4">
            <w:pPr>
              <w:spacing w:before="200"/>
              <w:ind w:right="-131"/>
            </w:pPr>
            <w:r w:rsidRPr="00036B09">
              <w:t>5°C above/ below source water temperature, provided that temp does not exceed 20°C</w:t>
            </w:r>
          </w:p>
        </w:tc>
        <w:tc>
          <w:tcPr>
            <w:tcW w:w="1490" w:type="dxa"/>
          </w:tcPr>
          <w:p w:rsidR="00DE3CC2" w:rsidRPr="00036B09" w:rsidRDefault="00DE3CC2" w:rsidP="00B250B4">
            <w:pPr>
              <w:spacing w:before="200"/>
              <w:ind w:right="-131"/>
            </w:pPr>
            <w:r w:rsidRPr="00036B09">
              <w:t xml:space="preserve">Continuous </w:t>
            </w:r>
          </w:p>
        </w:tc>
        <w:tc>
          <w:tcPr>
            <w:tcW w:w="1193" w:type="dxa"/>
          </w:tcPr>
          <w:p w:rsidR="00DE3CC2" w:rsidRPr="00036B09" w:rsidRDefault="00DE3CC2" w:rsidP="00B250B4">
            <w:pPr>
              <w:spacing w:before="200"/>
              <w:ind w:right="-131"/>
            </w:pPr>
            <w:r w:rsidRPr="00036B09">
              <w:t>Daily</w:t>
            </w:r>
          </w:p>
        </w:tc>
        <w:tc>
          <w:tcPr>
            <w:tcW w:w="1258" w:type="dxa"/>
          </w:tcPr>
          <w:p w:rsidR="00DE3CC2" w:rsidRPr="00036B09" w:rsidRDefault="00DE3CC2" w:rsidP="00B250B4">
            <w:pPr>
              <w:spacing w:before="200"/>
              <w:ind w:right="-131"/>
            </w:pPr>
            <w:r w:rsidRPr="00036B09">
              <w:t xml:space="preserve">Maximum </w:t>
            </w:r>
          </w:p>
        </w:tc>
      </w:tr>
      <w:tr w:rsidR="00140A34" w:rsidTr="0059015B">
        <w:trPr>
          <w:cantSplit/>
          <w:tblHeader/>
          <w:jc w:val="center"/>
        </w:trPr>
        <w:tc>
          <w:tcPr>
            <w:tcW w:w="989" w:type="dxa"/>
            <w:vMerge w:val="restart"/>
          </w:tcPr>
          <w:p w:rsidR="00140A34" w:rsidRPr="00036B09" w:rsidRDefault="00140A34" w:rsidP="005E4AD8">
            <w:pPr>
              <w:spacing w:before="200"/>
              <w:ind w:right="-131"/>
              <w:jc w:val="both"/>
            </w:pPr>
            <w:r>
              <w:t>Birley</w:t>
            </w:r>
          </w:p>
        </w:tc>
        <w:tc>
          <w:tcPr>
            <w:tcW w:w="2709" w:type="dxa"/>
            <w:vMerge w:val="restart"/>
          </w:tcPr>
          <w:p w:rsidR="00140A34" w:rsidRPr="00036B09" w:rsidRDefault="00140A34" w:rsidP="00B250B4">
            <w:pPr>
              <w:spacing w:before="200"/>
              <w:ind w:right="-131"/>
            </w:pPr>
            <w:r w:rsidRPr="00DE3CC2">
              <w:t>Abstracted groundwater used in heat exchanger to ground via borehole 1</w:t>
            </w:r>
          </w:p>
        </w:tc>
        <w:tc>
          <w:tcPr>
            <w:tcW w:w="937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Flow</w:t>
            </w:r>
          </w:p>
        </w:tc>
        <w:tc>
          <w:tcPr>
            <w:tcW w:w="1381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259.2 m3/day</w:t>
            </w:r>
          </w:p>
        </w:tc>
        <w:tc>
          <w:tcPr>
            <w:tcW w:w="1490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Total daily volume</w:t>
            </w:r>
          </w:p>
        </w:tc>
        <w:tc>
          <w:tcPr>
            <w:tcW w:w="1193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NA</w:t>
            </w:r>
          </w:p>
        </w:tc>
        <w:tc>
          <w:tcPr>
            <w:tcW w:w="1258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Maximum</w:t>
            </w:r>
          </w:p>
        </w:tc>
      </w:tr>
      <w:tr w:rsidR="00140A34" w:rsidTr="0059015B">
        <w:trPr>
          <w:cantSplit/>
          <w:tblHeader/>
          <w:jc w:val="center"/>
        </w:trPr>
        <w:tc>
          <w:tcPr>
            <w:tcW w:w="989" w:type="dxa"/>
            <w:vMerge/>
          </w:tcPr>
          <w:p w:rsidR="00140A34" w:rsidRDefault="00140A34" w:rsidP="005E4AD8">
            <w:pPr>
              <w:spacing w:before="200"/>
              <w:ind w:right="-131"/>
              <w:jc w:val="both"/>
            </w:pPr>
          </w:p>
        </w:tc>
        <w:tc>
          <w:tcPr>
            <w:tcW w:w="2709" w:type="dxa"/>
            <w:vMerge/>
          </w:tcPr>
          <w:p w:rsidR="00140A34" w:rsidRPr="00036B09" w:rsidRDefault="00140A34" w:rsidP="00B250B4">
            <w:pPr>
              <w:spacing w:before="200"/>
              <w:ind w:right="-131"/>
            </w:pPr>
          </w:p>
        </w:tc>
        <w:tc>
          <w:tcPr>
            <w:tcW w:w="937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Flow</w:t>
            </w:r>
          </w:p>
        </w:tc>
        <w:tc>
          <w:tcPr>
            <w:tcW w:w="1381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3 l/s</w:t>
            </w:r>
          </w:p>
        </w:tc>
        <w:tc>
          <w:tcPr>
            <w:tcW w:w="1490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Spot sample</w:t>
            </w:r>
          </w:p>
        </w:tc>
        <w:tc>
          <w:tcPr>
            <w:tcW w:w="1193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NA</w:t>
            </w:r>
          </w:p>
        </w:tc>
        <w:tc>
          <w:tcPr>
            <w:tcW w:w="1258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Maximum</w:t>
            </w:r>
          </w:p>
        </w:tc>
      </w:tr>
      <w:tr w:rsidR="00140A34" w:rsidTr="0059015B">
        <w:trPr>
          <w:cantSplit/>
          <w:tblHeader/>
          <w:jc w:val="center"/>
        </w:trPr>
        <w:tc>
          <w:tcPr>
            <w:tcW w:w="989" w:type="dxa"/>
            <w:vMerge/>
          </w:tcPr>
          <w:p w:rsidR="00140A34" w:rsidRDefault="00140A34" w:rsidP="005E4AD8">
            <w:pPr>
              <w:spacing w:before="200"/>
              <w:ind w:right="-131"/>
              <w:jc w:val="both"/>
            </w:pPr>
          </w:p>
        </w:tc>
        <w:tc>
          <w:tcPr>
            <w:tcW w:w="2709" w:type="dxa"/>
            <w:vMerge w:val="restart"/>
          </w:tcPr>
          <w:p w:rsidR="00140A34" w:rsidRPr="00036B09" w:rsidRDefault="00140A34" w:rsidP="00B250B4">
            <w:pPr>
              <w:spacing w:before="200"/>
              <w:ind w:right="-131"/>
            </w:pPr>
            <w:r w:rsidRPr="00B250B4">
              <w:t>Abstracted groundwater used in heat exchanger to ground via borehole 2</w:t>
            </w:r>
          </w:p>
        </w:tc>
        <w:tc>
          <w:tcPr>
            <w:tcW w:w="937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Flow</w:t>
            </w:r>
          </w:p>
        </w:tc>
        <w:tc>
          <w:tcPr>
            <w:tcW w:w="1381" w:type="dxa"/>
          </w:tcPr>
          <w:p w:rsidR="00140A34" w:rsidRPr="00036B09" w:rsidRDefault="005654FA" w:rsidP="00B250B4">
            <w:pPr>
              <w:spacing w:before="200"/>
              <w:ind w:right="-131"/>
            </w:pPr>
            <w:r>
              <w:t>345.6 m3/day</w:t>
            </w:r>
          </w:p>
        </w:tc>
        <w:tc>
          <w:tcPr>
            <w:tcW w:w="1490" w:type="dxa"/>
          </w:tcPr>
          <w:p w:rsidR="00140A34" w:rsidRPr="00036B09" w:rsidRDefault="005654FA" w:rsidP="00B250B4">
            <w:pPr>
              <w:spacing w:before="200"/>
              <w:ind w:right="-131"/>
            </w:pPr>
            <w:r>
              <w:t>Total daily volume</w:t>
            </w:r>
          </w:p>
        </w:tc>
        <w:tc>
          <w:tcPr>
            <w:tcW w:w="1193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NA</w:t>
            </w:r>
          </w:p>
        </w:tc>
        <w:tc>
          <w:tcPr>
            <w:tcW w:w="1258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Maximum</w:t>
            </w:r>
          </w:p>
        </w:tc>
      </w:tr>
      <w:tr w:rsidR="00140A34" w:rsidTr="0059015B">
        <w:trPr>
          <w:cantSplit/>
          <w:tblHeader/>
          <w:jc w:val="center"/>
        </w:trPr>
        <w:tc>
          <w:tcPr>
            <w:tcW w:w="989" w:type="dxa"/>
            <w:vMerge/>
          </w:tcPr>
          <w:p w:rsidR="00140A34" w:rsidRDefault="00140A34" w:rsidP="005E4AD8">
            <w:pPr>
              <w:spacing w:before="200"/>
              <w:ind w:right="-131"/>
              <w:jc w:val="both"/>
            </w:pPr>
          </w:p>
        </w:tc>
        <w:tc>
          <w:tcPr>
            <w:tcW w:w="2709" w:type="dxa"/>
            <w:vMerge/>
          </w:tcPr>
          <w:p w:rsidR="00140A34" w:rsidRPr="00DE3CC2" w:rsidRDefault="00140A34" w:rsidP="00B250B4">
            <w:pPr>
              <w:spacing w:before="200"/>
              <w:ind w:right="-131"/>
            </w:pPr>
          </w:p>
        </w:tc>
        <w:tc>
          <w:tcPr>
            <w:tcW w:w="937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Flow</w:t>
            </w:r>
          </w:p>
        </w:tc>
        <w:tc>
          <w:tcPr>
            <w:tcW w:w="1381" w:type="dxa"/>
          </w:tcPr>
          <w:p w:rsidR="00140A34" w:rsidRPr="00036B09" w:rsidRDefault="005654FA" w:rsidP="00B250B4">
            <w:pPr>
              <w:spacing w:before="200"/>
              <w:ind w:right="-131"/>
            </w:pPr>
            <w:r>
              <w:t>4 l/s</w:t>
            </w:r>
          </w:p>
        </w:tc>
        <w:tc>
          <w:tcPr>
            <w:tcW w:w="1490" w:type="dxa"/>
          </w:tcPr>
          <w:p w:rsidR="00140A34" w:rsidRPr="00036B09" w:rsidRDefault="005654FA" w:rsidP="00B250B4">
            <w:pPr>
              <w:spacing w:before="200"/>
              <w:ind w:right="-131"/>
            </w:pPr>
            <w:r>
              <w:t>Spot sample</w:t>
            </w:r>
          </w:p>
        </w:tc>
        <w:tc>
          <w:tcPr>
            <w:tcW w:w="1193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NA</w:t>
            </w:r>
          </w:p>
        </w:tc>
        <w:tc>
          <w:tcPr>
            <w:tcW w:w="1258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Maximum</w:t>
            </w:r>
          </w:p>
        </w:tc>
      </w:tr>
      <w:tr w:rsidR="00140A34" w:rsidTr="0059015B">
        <w:trPr>
          <w:cantSplit/>
          <w:tblHeader/>
          <w:jc w:val="center"/>
        </w:trPr>
        <w:tc>
          <w:tcPr>
            <w:tcW w:w="989" w:type="dxa"/>
            <w:vMerge/>
          </w:tcPr>
          <w:p w:rsidR="00140A34" w:rsidRDefault="00140A34" w:rsidP="005E4AD8">
            <w:pPr>
              <w:spacing w:before="200"/>
              <w:ind w:right="-131"/>
              <w:jc w:val="both"/>
            </w:pPr>
          </w:p>
        </w:tc>
        <w:tc>
          <w:tcPr>
            <w:tcW w:w="2709" w:type="dxa"/>
            <w:vMerge w:val="restart"/>
          </w:tcPr>
          <w:p w:rsidR="00140A34" w:rsidRPr="00036B09" w:rsidRDefault="00140A34" w:rsidP="00B250B4">
            <w:pPr>
              <w:spacing w:before="200"/>
              <w:ind w:right="-131"/>
            </w:pPr>
            <w:r w:rsidRPr="00DE3CC2">
              <w:t>Abstracted groundwater used in heat exchanger to ground via boreholes 1 and 2</w:t>
            </w:r>
          </w:p>
        </w:tc>
        <w:tc>
          <w:tcPr>
            <w:tcW w:w="937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Temp.</w:t>
            </w:r>
          </w:p>
        </w:tc>
        <w:tc>
          <w:tcPr>
            <w:tcW w:w="1381" w:type="dxa"/>
          </w:tcPr>
          <w:p w:rsidR="00140A34" w:rsidRPr="00036B09" w:rsidRDefault="005654FA" w:rsidP="00B250B4">
            <w:pPr>
              <w:spacing w:before="200"/>
              <w:ind w:right="-131"/>
            </w:pPr>
            <w:r>
              <w:t>25 C</w:t>
            </w:r>
          </w:p>
        </w:tc>
        <w:tc>
          <w:tcPr>
            <w:tcW w:w="1490" w:type="dxa"/>
          </w:tcPr>
          <w:p w:rsidR="00140A34" w:rsidRPr="00036B09" w:rsidRDefault="005654FA" w:rsidP="00B250B4">
            <w:pPr>
              <w:spacing w:before="200"/>
              <w:ind w:right="-131"/>
            </w:pPr>
            <w:r w:rsidRPr="00036B09">
              <w:t>Continuous</w:t>
            </w:r>
          </w:p>
        </w:tc>
        <w:tc>
          <w:tcPr>
            <w:tcW w:w="1193" w:type="dxa"/>
          </w:tcPr>
          <w:p w:rsidR="00140A34" w:rsidRPr="00036B09" w:rsidRDefault="005654FA" w:rsidP="00B250B4">
            <w:pPr>
              <w:spacing w:before="200"/>
              <w:ind w:right="-131"/>
            </w:pPr>
            <w:r>
              <w:t>Daily</w:t>
            </w:r>
          </w:p>
        </w:tc>
        <w:tc>
          <w:tcPr>
            <w:tcW w:w="1258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Maximum</w:t>
            </w:r>
          </w:p>
        </w:tc>
      </w:tr>
      <w:tr w:rsidR="00140A34" w:rsidTr="0059015B">
        <w:trPr>
          <w:cantSplit/>
          <w:tblHeader/>
          <w:jc w:val="center"/>
        </w:trPr>
        <w:tc>
          <w:tcPr>
            <w:tcW w:w="989" w:type="dxa"/>
            <w:vMerge/>
          </w:tcPr>
          <w:p w:rsidR="00140A34" w:rsidRDefault="00140A34" w:rsidP="005E4AD8">
            <w:pPr>
              <w:spacing w:before="200"/>
              <w:ind w:right="-131"/>
              <w:jc w:val="both"/>
            </w:pPr>
          </w:p>
        </w:tc>
        <w:tc>
          <w:tcPr>
            <w:tcW w:w="2709" w:type="dxa"/>
            <w:vMerge/>
          </w:tcPr>
          <w:p w:rsidR="00140A34" w:rsidRPr="00DE3CC2" w:rsidRDefault="00140A34" w:rsidP="00B250B4">
            <w:pPr>
              <w:spacing w:before="200"/>
              <w:ind w:right="-131"/>
            </w:pPr>
          </w:p>
        </w:tc>
        <w:tc>
          <w:tcPr>
            <w:tcW w:w="937" w:type="dxa"/>
          </w:tcPr>
          <w:p w:rsidR="00140A34" w:rsidRPr="00036B09" w:rsidRDefault="00B250B4" w:rsidP="00B250B4">
            <w:pPr>
              <w:spacing w:before="200"/>
              <w:ind w:right="-131"/>
            </w:pPr>
            <w:r>
              <w:t>Temp.</w:t>
            </w:r>
          </w:p>
        </w:tc>
        <w:tc>
          <w:tcPr>
            <w:tcW w:w="1381" w:type="dxa"/>
          </w:tcPr>
          <w:p w:rsidR="00140A34" w:rsidRPr="00036B09" w:rsidRDefault="005654FA" w:rsidP="00B250B4">
            <w:pPr>
              <w:spacing w:before="200"/>
              <w:ind w:right="-131"/>
            </w:pPr>
            <w:r>
              <w:t>10 C</w:t>
            </w:r>
          </w:p>
        </w:tc>
        <w:tc>
          <w:tcPr>
            <w:tcW w:w="1490" w:type="dxa"/>
          </w:tcPr>
          <w:p w:rsidR="00140A34" w:rsidRPr="00036B09" w:rsidRDefault="005654FA" w:rsidP="00B250B4">
            <w:pPr>
              <w:spacing w:before="200"/>
              <w:ind w:right="-131"/>
            </w:pPr>
            <w:r w:rsidRPr="00036B09">
              <w:t>Continuous</w:t>
            </w:r>
          </w:p>
        </w:tc>
        <w:tc>
          <w:tcPr>
            <w:tcW w:w="1193" w:type="dxa"/>
          </w:tcPr>
          <w:p w:rsidR="00140A34" w:rsidRPr="00036B09" w:rsidRDefault="005654FA" w:rsidP="00B250B4">
            <w:pPr>
              <w:spacing w:before="200"/>
              <w:ind w:right="-131"/>
            </w:pPr>
            <w:r>
              <w:t>Daily</w:t>
            </w:r>
          </w:p>
        </w:tc>
        <w:tc>
          <w:tcPr>
            <w:tcW w:w="1258" w:type="dxa"/>
          </w:tcPr>
          <w:p w:rsidR="00140A34" w:rsidRPr="00036B09" w:rsidRDefault="00140A34" w:rsidP="00B250B4">
            <w:pPr>
              <w:spacing w:before="200"/>
              <w:ind w:right="-131"/>
            </w:pPr>
            <w:r>
              <w:t>Maximum change compared to abstracted water</w:t>
            </w:r>
          </w:p>
        </w:tc>
      </w:tr>
    </w:tbl>
    <w:p w:rsidR="00BF6959" w:rsidRDefault="00BF6959" w:rsidP="005E4AD8">
      <w:pPr>
        <w:spacing w:before="200"/>
        <w:ind w:left="-284" w:right="-131"/>
        <w:jc w:val="both"/>
        <w:rPr>
          <w:sz w:val="24"/>
          <w:szCs w:val="24"/>
          <w:vertAlign w:val="superscript"/>
        </w:rPr>
      </w:pPr>
    </w:p>
    <w:p w:rsidR="00B250B4" w:rsidRPr="00027CB3" w:rsidRDefault="007E65E9" w:rsidP="00FB091C">
      <w:pPr>
        <w:spacing w:before="200"/>
        <w:ind w:left="-284" w:right="-1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Any malfunction of the system likely to lead to pollutio</w:t>
      </w:r>
      <w:r w:rsidR="00B2717F">
        <w:rPr>
          <w:sz w:val="24"/>
          <w:szCs w:val="24"/>
        </w:rPr>
        <w:t xml:space="preserve">n </w:t>
      </w:r>
      <w:proofErr w:type="gramStart"/>
      <w:r w:rsidR="00B2717F">
        <w:rPr>
          <w:sz w:val="24"/>
          <w:szCs w:val="24"/>
        </w:rPr>
        <w:t>must be communicated</w:t>
      </w:r>
      <w:proofErr w:type="gramEnd"/>
      <w:r w:rsidR="00B2717F">
        <w:rPr>
          <w:sz w:val="24"/>
          <w:szCs w:val="24"/>
        </w:rPr>
        <w:t xml:space="preserve"> to the Environment Agency</w:t>
      </w:r>
      <w:r>
        <w:rPr>
          <w:sz w:val="24"/>
          <w:szCs w:val="24"/>
        </w:rPr>
        <w:t xml:space="preserve"> within 24h of detection using the forms included in the license document. </w:t>
      </w:r>
    </w:p>
    <w:p w:rsidR="007D6C0B" w:rsidRPr="002F08F9" w:rsidRDefault="007D6C0B" w:rsidP="005E4AD8">
      <w:pPr>
        <w:pStyle w:val="ListParagraph"/>
        <w:numPr>
          <w:ilvl w:val="0"/>
          <w:numId w:val="17"/>
        </w:numPr>
        <w:ind w:left="284" w:hanging="568"/>
        <w:jc w:val="both"/>
        <w:rPr>
          <w:b/>
          <w:sz w:val="24"/>
          <w:szCs w:val="24"/>
          <w:u w:val="single"/>
        </w:rPr>
      </w:pPr>
      <w:r w:rsidRPr="002F08F9">
        <w:rPr>
          <w:b/>
          <w:sz w:val="24"/>
          <w:szCs w:val="24"/>
          <w:u w:val="single"/>
        </w:rPr>
        <w:t>Actions</w:t>
      </w:r>
      <w:r w:rsidR="0034386B" w:rsidRPr="002F08F9">
        <w:rPr>
          <w:b/>
          <w:sz w:val="24"/>
          <w:szCs w:val="24"/>
          <w:u w:val="single"/>
        </w:rPr>
        <w:t xml:space="preserve"> to ensure compliance</w:t>
      </w:r>
      <w:r w:rsidR="00901D43">
        <w:rPr>
          <w:b/>
          <w:sz w:val="24"/>
          <w:szCs w:val="24"/>
          <w:u w:val="single"/>
        </w:rPr>
        <w:t xml:space="preserve"> </w:t>
      </w:r>
    </w:p>
    <w:p w:rsidR="00901D43" w:rsidRDefault="00901D43" w:rsidP="00901D43">
      <w:pPr>
        <w:pStyle w:val="ListParagraph"/>
        <w:ind w:left="-284"/>
        <w:jc w:val="both"/>
        <w:rPr>
          <w:sz w:val="24"/>
          <w:szCs w:val="24"/>
        </w:rPr>
      </w:pPr>
    </w:p>
    <w:p w:rsidR="00901D43" w:rsidRDefault="00901D43" w:rsidP="00901D43">
      <w:pPr>
        <w:pStyle w:val="ListParagraph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2487D">
        <w:rPr>
          <w:sz w:val="24"/>
          <w:szCs w:val="24"/>
        </w:rPr>
        <w:t xml:space="preserve">ater </w:t>
      </w:r>
      <w:r>
        <w:rPr>
          <w:sz w:val="24"/>
          <w:szCs w:val="24"/>
        </w:rPr>
        <w:t xml:space="preserve">abstraction </w:t>
      </w:r>
      <w:proofErr w:type="gramStart"/>
      <w:r w:rsidR="00C2487D">
        <w:rPr>
          <w:sz w:val="24"/>
          <w:szCs w:val="24"/>
        </w:rPr>
        <w:t>is monitored</w:t>
      </w:r>
      <w:proofErr w:type="gramEnd"/>
      <w:r w:rsidR="00C248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using a number of water </w:t>
      </w:r>
      <w:r w:rsidR="008B3DC4">
        <w:rPr>
          <w:sz w:val="24"/>
          <w:szCs w:val="24"/>
        </w:rPr>
        <w:t>meter</w:t>
      </w:r>
      <w:r>
        <w:rPr>
          <w:sz w:val="24"/>
          <w:szCs w:val="24"/>
        </w:rPr>
        <w:t>s</w:t>
      </w:r>
      <w:r w:rsidR="000629A5">
        <w:rPr>
          <w:sz w:val="24"/>
          <w:szCs w:val="24"/>
        </w:rPr>
        <w:t xml:space="preserve"> and temperature sensors</w:t>
      </w:r>
      <w:r w:rsidR="008B3DC4">
        <w:rPr>
          <w:sz w:val="24"/>
          <w:szCs w:val="24"/>
        </w:rPr>
        <w:t xml:space="preserve"> connected to the</w:t>
      </w:r>
      <w:r>
        <w:rPr>
          <w:sz w:val="24"/>
          <w:szCs w:val="24"/>
        </w:rPr>
        <w:t xml:space="preserve"> University’s</w:t>
      </w:r>
      <w:r w:rsidR="008B3DC4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uilding </w:t>
      </w:r>
      <w:r w:rsidR="008B3DC4">
        <w:rPr>
          <w:sz w:val="24"/>
          <w:szCs w:val="24"/>
        </w:rPr>
        <w:t>M</w:t>
      </w:r>
      <w:r>
        <w:rPr>
          <w:sz w:val="24"/>
          <w:szCs w:val="24"/>
        </w:rPr>
        <w:t xml:space="preserve">anagement </w:t>
      </w:r>
      <w:r w:rsidR="008B3DC4">
        <w:rPr>
          <w:sz w:val="24"/>
          <w:szCs w:val="24"/>
        </w:rPr>
        <w:t>S</w:t>
      </w:r>
      <w:r>
        <w:rPr>
          <w:sz w:val="24"/>
          <w:szCs w:val="24"/>
        </w:rPr>
        <w:t>ystem</w:t>
      </w:r>
      <w:r w:rsidR="008B3DC4">
        <w:rPr>
          <w:sz w:val="24"/>
          <w:szCs w:val="24"/>
        </w:rPr>
        <w:t>. This enables the monitoring of consumption</w:t>
      </w:r>
      <w:r w:rsidR="000629A5">
        <w:rPr>
          <w:sz w:val="24"/>
          <w:szCs w:val="24"/>
        </w:rPr>
        <w:t xml:space="preserve"> and flow </w:t>
      </w:r>
      <w:proofErr w:type="gramStart"/>
      <w:r w:rsidR="000629A5">
        <w:rPr>
          <w:sz w:val="24"/>
          <w:szCs w:val="24"/>
        </w:rPr>
        <w:t>temp</w:t>
      </w:r>
      <w:proofErr w:type="gramEnd"/>
      <w:r w:rsidR="008B3DC4">
        <w:rPr>
          <w:sz w:val="24"/>
          <w:szCs w:val="24"/>
        </w:rPr>
        <w:t xml:space="preserve"> on an hourly, daily and an</w:t>
      </w:r>
      <w:r>
        <w:rPr>
          <w:sz w:val="24"/>
          <w:szCs w:val="24"/>
        </w:rPr>
        <w:t xml:space="preserve">nual basis. </w:t>
      </w:r>
    </w:p>
    <w:p w:rsidR="00901D43" w:rsidRDefault="00901D43" w:rsidP="00901D43">
      <w:pPr>
        <w:pStyle w:val="ListParagraph"/>
        <w:ind w:left="-284"/>
        <w:jc w:val="both"/>
        <w:rPr>
          <w:sz w:val="24"/>
          <w:szCs w:val="24"/>
        </w:rPr>
      </w:pPr>
    </w:p>
    <w:p w:rsidR="00326C9D" w:rsidRDefault="00901D43" w:rsidP="00901D43">
      <w:pPr>
        <w:pStyle w:val="ListParagraph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Consumption data </w:t>
      </w:r>
      <w:proofErr w:type="gramStart"/>
      <w:r>
        <w:rPr>
          <w:sz w:val="24"/>
          <w:szCs w:val="24"/>
        </w:rPr>
        <w:t>is</w:t>
      </w:r>
      <w:r w:rsidR="00BF6959">
        <w:rPr>
          <w:sz w:val="24"/>
          <w:szCs w:val="24"/>
        </w:rPr>
        <w:t xml:space="preserve"> recorded automatically o</w:t>
      </w:r>
      <w:r w:rsidR="008B3DC4">
        <w:rPr>
          <w:sz w:val="24"/>
          <w:szCs w:val="24"/>
        </w:rPr>
        <w:t>n the BMS</w:t>
      </w:r>
      <w:r w:rsidR="000629A5">
        <w:rPr>
          <w:sz w:val="24"/>
          <w:szCs w:val="24"/>
        </w:rPr>
        <w:t xml:space="preserve"> and sent to</w:t>
      </w:r>
      <w:r w:rsidR="00DD70E3">
        <w:rPr>
          <w:sz w:val="24"/>
          <w:szCs w:val="24"/>
        </w:rPr>
        <w:t xml:space="preserve"> </w:t>
      </w:r>
      <w:r w:rsidR="00EF242B">
        <w:rPr>
          <w:sz w:val="24"/>
          <w:szCs w:val="24"/>
        </w:rPr>
        <w:t xml:space="preserve">the ESB </w:t>
      </w:r>
      <w:r w:rsidR="00DD70E3">
        <w:rPr>
          <w:sz w:val="24"/>
          <w:szCs w:val="24"/>
        </w:rPr>
        <w:t>Active Energy</w:t>
      </w:r>
      <w:r w:rsidR="00EF242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DD70E3">
        <w:rPr>
          <w:sz w:val="24"/>
          <w:szCs w:val="24"/>
        </w:rPr>
        <w:t>an</w:t>
      </w:r>
      <w:r w:rsidR="00EF242B">
        <w:rPr>
          <w:sz w:val="24"/>
          <w:szCs w:val="24"/>
        </w:rPr>
        <w:t>agement System</w:t>
      </w:r>
      <w:proofErr w:type="gramEnd"/>
      <w:r w:rsidR="008B3DC4">
        <w:rPr>
          <w:sz w:val="24"/>
          <w:szCs w:val="24"/>
        </w:rPr>
        <w:t xml:space="preserve">. The system </w:t>
      </w:r>
      <w:proofErr w:type="gramStart"/>
      <w:r w:rsidR="008B3DC4">
        <w:rPr>
          <w:sz w:val="24"/>
          <w:szCs w:val="24"/>
        </w:rPr>
        <w:t>is configured</w:t>
      </w:r>
      <w:proofErr w:type="gramEnd"/>
      <w:r w:rsidR="00B250B4">
        <w:rPr>
          <w:sz w:val="24"/>
          <w:szCs w:val="24"/>
        </w:rPr>
        <w:t xml:space="preserve"> </w:t>
      </w:r>
      <w:r w:rsidR="008B3DC4">
        <w:rPr>
          <w:sz w:val="24"/>
          <w:szCs w:val="24"/>
        </w:rPr>
        <w:t>such that the abstraction thresholds of the license</w:t>
      </w:r>
      <w:r w:rsidR="00477FED">
        <w:rPr>
          <w:sz w:val="24"/>
          <w:szCs w:val="24"/>
        </w:rPr>
        <w:t xml:space="preserve"> + permits</w:t>
      </w:r>
      <w:r w:rsidR="008B3DC4">
        <w:rPr>
          <w:sz w:val="24"/>
          <w:szCs w:val="24"/>
        </w:rPr>
        <w:t xml:space="preserve"> are not e</w:t>
      </w:r>
      <w:r w:rsidR="00AB26FC">
        <w:rPr>
          <w:sz w:val="24"/>
          <w:szCs w:val="24"/>
        </w:rPr>
        <w:t>xceeded</w:t>
      </w:r>
      <w:r w:rsidR="008B3DC4">
        <w:rPr>
          <w:sz w:val="24"/>
          <w:szCs w:val="24"/>
        </w:rPr>
        <w:t xml:space="preserve">. If abstraction exceeds the </w:t>
      </w:r>
      <w:r w:rsidR="00477FED">
        <w:rPr>
          <w:sz w:val="24"/>
          <w:szCs w:val="24"/>
        </w:rPr>
        <w:t xml:space="preserve">specified </w:t>
      </w:r>
      <w:proofErr w:type="gramStart"/>
      <w:r w:rsidR="008B3DC4">
        <w:rPr>
          <w:sz w:val="24"/>
          <w:szCs w:val="24"/>
        </w:rPr>
        <w:t>limits</w:t>
      </w:r>
      <w:proofErr w:type="gramEnd"/>
      <w:r w:rsidR="008B3DC4">
        <w:rPr>
          <w:sz w:val="24"/>
          <w:szCs w:val="24"/>
        </w:rPr>
        <w:t xml:space="preserve"> an alarm is triggered alerting the </w:t>
      </w:r>
      <w:r w:rsidR="00AB26FC">
        <w:rPr>
          <w:sz w:val="24"/>
          <w:szCs w:val="24"/>
        </w:rPr>
        <w:t>BMS manager</w:t>
      </w:r>
      <w:r w:rsidR="00EF242B">
        <w:rPr>
          <w:sz w:val="24"/>
          <w:szCs w:val="24"/>
        </w:rPr>
        <w:t xml:space="preserve"> and Environment and Energy Officer</w:t>
      </w:r>
      <w:r>
        <w:rPr>
          <w:sz w:val="24"/>
          <w:szCs w:val="24"/>
        </w:rPr>
        <w:t>.</w:t>
      </w:r>
    </w:p>
    <w:p w:rsidR="00901D43" w:rsidRPr="00901D43" w:rsidRDefault="00901D43" w:rsidP="00901D43">
      <w:pPr>
        <w:pStyle w:val="ListParagraph"/>
        <w:ind w:left="-284"/>
        <w:jc w:val="both"/>
        <w:rPr>
          <w:sz w:val="24"/>
          <w:szCs w:val="24"/>
        </w:rPr>
      </w:pPr>
    </w:p>
    <w:p w:rsidR="00326C9D" w:rsidRPr="00CE082B" w:rsidRDefault="00326C9D" w:rsidP="005E4AD8">
      <w:pPr>
        <w:pStyle w:val="ListParagraph"/>
        <w:ind w:left="-284"/>
        <w:jc w:val="both"/>
        <w:rPr>
          <w:sz w:val="24"/>
          <w:szCs w:val="24"/>
        </w:rPr>
      </w:pPr>
      <w:r w:rsidRPr="000E132B">
        <w:rPr>
          <w:sz w:val="24"/>
          <w:szCs w:val="24"/>
        </w:rPr>
        <w:t xml:space="preserve">A record of consumption </w:t>
      </w:r>
      <w:proofErr w:type="gramStart"/>
      <w:r w:rsidRPr="000E132B">
        <w:rPr>
          <w:sz w:val="24"/>
          <w:szCs w:val="24"/>
        </w:rPr>
        <w:t>is sent</w:t>
      </w:r>
      <w:proofErr w:type="gramEnd"/>
      <w:r w:rsidRPr="000E132B">
        <w:rPr>
          <w:sz w:val="24"/>
          <w:szCs w:val="24"/>
        </w:rPr>
        <w:t xml:space="preserve"> annually to </w:t>
      </w:r>
      <w:r w:rsidR="00B2717F" w:rsidRPr="000E132B">
        <w:rPr>
          <w:sz w:val="24"/>
          <w:szCs w:val="24"/>
        </w:rPr>
        <w:t>the</w:t>
      </w:r>
      <w:r w:rsidR="00B2717F">
        <w:rPr>
          <w:sz w:val="24"/>
          <w:szCs w:val="24"/>
        </w:rPr>
        <w:t xml:space="preserve"> Environment </w:t>
      </w:r>
      <w:r>
        <w:rPr>
          <w:sz w:val="24"/>
          <w:szCs w:val="24"/>
        </w:rPr>
        <w:t>Agency in A</w:t>
      </w:r>
      <w:r w:rsidR="00B2717F">
        <w:rPr>
          <w:sz w:val="24"/>
          <w:szCs w:val="24"/>
        </w:rPr>
        <w:t>pril in line with requirement</w:t>
      </w:r>
      <w:r w:rsidR="0068125B">
        <w:rPr>
          <w:sz w:val="24"/>
          <w:szCs w:val="24"/>
        </w:rPr>
        <w:t xml:space="preserve">s of the Abstraction License. </w:t>
      </w:r>
      <w:proofErr w:type="gramStart"/>
      <w:r w:rsidR="0068125B">
        <w:rPr>
          <w:sz w:val="24"/>
          <w:szCs w:val="24"/>
        </w:rPr>
        <w:t>This is compiled by the E</w:t>
      </w:r>
      <w:r w:rsidR="003D1B2C">
        <w:rPr>
          <w:sz w:val="24"/>
          <w:szCs w:val="24"/>
        </w:rPr>
        <w:t xml:space="preserve">nergy Manager </w:t>
      </w:r>
      <w:r w:rsidR="0068125B">
        <w:rPr>
          <w:sz w:val="24"/>
          <w:szCs w:val="24"/>
        </w:rPr>
        <w:t>in co</w:t>
      </w:r>
      <w:r w:rsidR="003D1B2C">
        <w:rPr>
          <w:sz w:val="24"/>
          <w:szCs w:val="24"/>
        </w:rPr>
        <w:t>nsultation with the Principle Engineer (BMS)</w:t>
      </w:r>
      <w:proofErr w:type="gramEnd"/>
      <w:r w:rsidR="003D1B2C">
        <w:rPr>
          <w:sz w:val="24"/>
          <w:szCs w:val="24"/>
        </w:rPr>
        <w:t>.</w:t>
      </w:r>
      <w:r w:rsidR="0068125B">
        <w:rPr>
          <w:sz w:val="24"/>
          <w:szCs w:val="24"/>
        </w:rPr>
        <w:t xml:space="preserve"> </w:t>
      </w:r>
    </w:p>
    <w:p w:rsidR="00901D43" w:rsidRDefault="00901D43" w:rsidP="005E4AD8">
      <w:pPr>
        <w:pStyle w:val="ListParagraph"/>
        <w:ind w:left="-284"/>
        <w:jc w:val="both"/>
        <w:rPr>
          <w:b/>
          <w:i/>
          <w:sz w:val="24"/>
          <w:szCs w:val="24"/>
        </w:rPr>
      </w:pPr>
    </w:p>
    <w:p w:rsidR="00901D43" w:rsidRDefault="00901D43" w:rsidP="005E4AD8">
      <w:pPr>
        <w:pStyle w:val="ListParagraph"/>
        <w:ind w:left="-284"/>
        <w:jc w:val="both"/>
        <w:rPr>
          <w:b/>
          <w:i/>
          <w:sz w:val="24"/>
          <w:szCs w:val="24"/>
        </w:rPr>
      </w:pPr>
    </w:p>
    <w:p w:rsidR="00F603F4" w:rsidRPr="00AA3A29" w:rsidRDefault="00C84939" w:rsidP="005E4AD8">
      <w:pPr>
        <w:pStyle w:val="ListParagraph"/>
        <w:ind w:left="-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3.1</w:t>
      </w:r>
      <w:r w:rsidR="00B2717F">
        <w:rPr>
          <w:b/>
          <w:i/>
          <w:sz w:val="24"/>
          <w:szCs w:val="24"/>
        </w:rPr>
        <w:t xml:space="preserve"> </w:t>
      </w:r>
      <w:r w:rsidR="00C2487D" w:rsidRPr="00F603F4">
        <w:rPr>
          <w:b/>
          <w:i/>
          <w:sz w:val="24"/>
          <w:szCs w:val="24"/>
        </w:rPr>
        <w:t>Identification of non-co</w:t>
      </w:r>
      <w:r>
        <w:rPr>
          <w:b/>
          <w:i/>
          <w:sz w:val="24"/>
          <w:szCs w:val="24"/>
        </w:rPr>
        <w:t>nformance + corrective action</w:t>
      </w:r>
    </w:p>
    <w:p w:rsidR="00FE1085" w:rsidRDefault="00F603F4" w:rsidP="005E4AD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Instances of </w:t>
      </w:r>
      <w:r w:rsidRPr="00F603F4">
        <w:rPr>
          <w:sz w:val="24"/>
          <w:szCs w:val="24"/>
        </w:rPr>
        <w:t>non-conform</w:t>
      </w:r>
      <w:r w:rsidR="00477FED">
        <w:rPr>
          <w:sz w:val="24"/>
          <w:szCs w:val="24"/>
        </w:rPr>
        <w:t xml:space="preserve">ance </w:t>
      </w:r>
      <w:proofErr w:type="gramStart"/>
      <w:r w:rsidR="00477FED">
        <w:rPr>
          <w:sz w:val="24"/>
          <w:szCs w:val="24"/>
        </w:rPr>
        <w:t>are identified</w:t>
      </w:r>
      <w:proofErr w:type="gramEnd"/>
      <w:r w:rsidR="00477FED">
        <w:rPr>
          <w:sz w:val="24"/>
          <w:szCs w:val="24"/>
        </w:rPr>
        <w:t xml:space="preserve"> by alarms on</w:t>
      </w:r>
      <w:r w:rsidRPr="00F603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BMS. If </w:t>
      </w:r>
      <w:proofErr w:type="gramStart"/>
      <w:r>
        <w:rPr>
          <w:sz w:val="24"/>
          <w:szCs w:val="24"/>
        </w:rPr>
        <w:t>an alarm is detected by the BMS Manager</w:t>
      </w:r>
      <w:proofErr w:type="gramEnd"/>
      <w:r>
        <w:rPr>
          <w:sz w:val="24"/>
          <w:szCs w:val="24"/>
        </w:rPr>
        <w:t xml:space="preserve"> the reas</w:t>
      </w:r>
      <w:r w:rsidR="0068125B">
        <w:rPr>
          <w:sz w:val="24"/>
          <w:szCs w:val="24"/>
        </w:rPr>
        <w:t xml:space="preserve">ons </w:t>
      </w:r>
      <w:r w:rsidR="000629A5">
        <w:rPr>
          <w:sz w:val="24"/>
          <w:szCs w:val="24"/>
        </w:rPr>
        <w:t>for breaching thresholds are</w:t>
      </w:r>
      <w:r w:rsidR="00477FED">
        <w:rPr>
          <w:sz w:val="24"/>
          <w:szCs w:val="24"/>
        </w:rPr>
        <w:t xml:space="preserve"> </w:t>
      </w:r>
      <w:r>
        <w:rPr>
          <w:sz w:val="24"/>
          <w:szCs w:val="24"/>
        </w:rPr>
        <w:t>investigated immediately and corrective actions put in place.</w:t>
      </w:r>
      <w:r w:rsidR="00477FED">
        <w:rPr>
          <w:sz w:val="24"/>
          <w:szCs w:val="24"/>
        </w:rPr>
        <w:t xml:space="preserve"> </w:t>
      </w:r>
    </w:p>
    <w:p w:rsidR="00477FED" w:rsidRDefault="00F603F4" w:rsidP="005E4AD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77FED">
        <w:rPr>
          <w:sz w:val="24"/>
          <w:szCs w:val="24"/>
        </w:rPr>
        <w:t xml:space="preserve">f a technical fault </w:t>
      </w:r>
      <w:proofErr w:type="gramStart"/>
      <w:r w:rsidR="00477FED">
        <w:rPr>
          <w:sz w:val="24"/>
          <w:szCs w:val="24"/>
        </w:rPr>
        <w:t>is detected</w:t>
      </w:r>
      <w:proofErr w:type="gramEnd"/>
      <w:r w:rsidR="00477FE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operation of the borehole </w:t>
      </w:r>
      <w:r w:rsidR="000629A5">
        <w:rPr>
          <w:sz w:val="24"/>
          <w:szCs w:val="24"/>
        </w:rPr>
        <w:t>is</w:t>
      </w:r>
      <w:r>
        <w:rPr>
          <w:sz w:val="24"/>
          <w:szCs w:val="24"/>
        </w:rPr>
        <w:t xml:space="preserve"> halted until the fau</w:t>
      </w:r>
      <w:r w:rsidR="00AA3A29">
        <w:rPr>
          <w:sz w:val="24"/>
          <w:szCs w:val="24"/>
        </w:rPr>
        <w:t>lt is corrected.</w:t>
      </w:r>
    </w:p>
    <w:p w:rsidR="00AA3A29" w:rsidRDefault="00AA3A29" w:rsidP="005E4AD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Reco</w:t>
      </w:r>
      <w:r w:rsidR="00477FED">
        <w:rPr>
          <w:sz w:val="24"/>
          <w:szCs w:val="24"/>
        </w:rPr>
        <w:t>rds of technical</w:t>
      </w:r>
      <w:r w:rsidR="00F603F4" w:rsidRPr="0068125B">
        <w:rPr>
          <w:sz w:val="24"/>
          <w:szCs w:val="24"/>
        </w:rPr>
        <w:t xml:space="preserve"> faul</w:t>
      </w:r>
      <w:r w:rsidR="00B2717F" w:rsidRPr="0068125B">
        <w:rPr>
          <w:sz w:val="24"/>
          <w:szCs w:val="24"/>
        </w:rPr>
        <w:t xml:space="preserve">ts and corrective actions </w:t>
      </w:r>
      <w:proofErr w:type="gramStart"/>
      <w:r w:rsidR="00477FED">
        <w:rPr>
          <w:sz w:val="24"/>
          <w:szCs w:val="24"/>
        </w:rPr>
        <w:t>are saved</w:t>
      </w:r>
      <w:proofErr w:type="gramEnd"/>
      <w:r w:rsidR="00477FED">
        <w:rPr>
          <w:sz w:val="24"/>
          <w:szCs w:val="24"/>
        </w:rPr>
        <w:t xml:space="preserve"> in the Borehole </w:t>
      </w:r>
      <w:r w:rsidR="00C84939">
        <w:rPr>
          <w:sz w:val="24"/>
          <w:szCs w:val="24"/>
        </w:rPr>
        <w:t xml:space="preserve">Issues </w:t>
      </w:r>
      <w:r w:rsidR="00477FED">
        <w:rPr>
          <w:sz w:val="24"/>
          <w:szCs w:val="24"/>
        </w:rPr>
        <w:t xml:space="preserve">log.  </w:t>
      </w:r>
    </w:p>
    <w:p w:rsidR="00477FED" w:rsidRDefault="00477FED" w:rsidP="005E4AD8">
      <w:pPr>
        <w:ind w:left="-284"/>
        <w:jc w:val="both"/>
        <w:rPr>
          <w:sz w:val="24"/>
          <w:szCs w:val="24"/>
        </w:rPr>
      </w:pPr>
    </w:p>
    <w:p w:rsidR="00AE2D5D" w:rsidRDefault="00AE2D5D" w:rsidP="005E4AD8">
      <w:pPr>
        <w:ind w:left="-284"/>
        <w:jc w:val="both"/>
        <w:rPr>
          <w:sz w:val="24"/>
          <w:szCs w:val="24"/>
        </w:rPr>
      </w:pPr>
    </w:p>
    <w:p w:rsidR="00AE2D5D" w:rsidRDefault="00AE2D5D" w:rsidP="005E4AD8">
      <w:pPr>
        <w:ind w:left="-284"/>
        <w:jc w:val="both"/>
        <w:rPr>
          <w:sz w:val="24"/>
          <w:szCs w:val="24"/>
        </w:rPr>
      </w:pPr>
    </w:p>
    <w:p w:rsidR="007D6C0B" w:rsidRPr="002F08F9" w:rsidRDefault="007D6C0B" w:rsidP="005E4AD8">
      <w:pPr>
        <w:pStyle w:val="ListParagraph"/>
        <w:ind w:left="-284"/>
        <w:jc w:val="both"/>
        <w:rPr>
          <w:b/>
          <w:sz w:val="24"/>
          <w:szCs w:val="24"/>
          <w:u w:val="single"/>
        </w:rPr>
      </w:pPr>
    </w:p>
    <w:p w:rsidR="007D6C0B" w:rsidRDefault="00B2717F" w:rsidP="005E4AD8">
      <w:pPr>
        <w:pStyle w:val="ListParagraph"/>
        <w:numPr>
          <w:ilvl w:val="0"/>
          <w:numId w:val="17"/>
        </w:numPr>
        <w:ind w:left="284" w:hanging="56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Roles and R</w:t>
      </w:r>
      <w:r w:rsidR="007D6C0B" w:rsidRPr="002F08F9">
        <w:rPr>
          <w:b/>
          <w:sz w:val="24"/>
          <w:szCs w:val="24"/>
          <w:u w:val="single"/>
        </w:rPr>
        <w:t>esponsibilities</w:t>
      </w:r>
    </w:p>
    <w:p w:rsidR="003D1B2C" w:rsidRPr="002F08F9" w:rsidRDefault="003D1B2C" w:rsidP="003D1B2C">
      <w:pPr>
        <w:pStyle w:val="ListParagraph"/>
        <w:ind w:left="284"/>
        <w:jc w:val="both"/>
        <w:rPr>
          <w:b/>
          <w:sz w:val="24"/>
          <w:szCs w:val="24"/>
          <w:u w:val="single"/>
        </w:rPr>
      </w:pPr>
    </w:p>
    <w:p w:rsidR="00B2717F" w:rsidRPr="0068125B" w:rsidRDefault="00B2717F" w:rsidP="005E4AD8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68125B">
        <w:rPr>
          <w:sz w:val="24"/>
          <w:szCs w:val="24"/>
        </w:rPr>
        <w:t>M</w:t>
      </w:r>
      <w:r w:rsidR="00AA3A29" w:rsidRPr="0068125B">
        <w:rPr>
          <w:sz w:val="24"/>
          <w:szCs w:val="24"/>
        </w:rPr>
        <w:t>aintenance of the physical systems</w:t>
      </w:r>
      <w:r w:rsidRPr="0068125B">
        <w:rPr>
          <w:sz w:val="24"/>
          <w:szCs w:val="24"/>
        </w:rPr>
        <w:t xml:space="preserve"> – </w:t>
      </w:r>
      <w:r w:rsidR="003D1B2C">
        <w:rPr>
          <w:sz w:val="24"/>
          <w:szCs w:val="24"/>
        </w:rPr>
        <w:t>Principle Engineer (Mechanical)</w:t>
      </w:r>
    </w:p>
    <w:p w:rsidR="00B2717F" w:rsidRPr="0068125B" w:rsidRDefault="00B2717F" w:rsidP="005E4AD8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68125B">
        <w:rPr>
          <w:sz w:val="24"/>
          <w:szCs w:val="24"/>
        </w:rPr>
        <w:t>M</w:t>
      </w:r>
      <w:r w:rsidR="00AA3A29" w:rsidRPr="0068125B">
        <w:rPr>
          <w:sz w:val="24"/>
          <w:szCs w:val="24"/>
        </w:rPr>
        <w:t>onitoring of the BMS to ensure we ar</w:t>
      </w:r>
      <w:r w:rsidRPr="0068125B">
        <w:rPr>
          <w:sz w:val="24"/>
          <w:szCs w:val="24"/>
        </w:rPr>
        <w:t xml:space="preserve">e within compliance thresholds – </w:t>
      </w:r>
      <w:r w:rsidR="003D1B2C">
        <w:rPr>
          <w:sz w:val="24"/>
          <w:szCs w:val="24"/>
        </w:rPr>
        <w:t>Principle Engineer (BMS) and Energy Manager</w:t>
      </w:r>
    </w:p>
    <w:p w:rsidR="00FE1085" w:rsidRPr="0068125B" w:rsidRDefault="00B2717F" w:rsidP="005E4AD8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68125B">
        <w:rPr>
          <w:sz w:val="24"/>
          <w:szCs w:val="24"/>
        </w:rPr>
        <w:t xml:space="preserve">Sending records to Environment Agency – </w:t>
      </w:r>
      <w:r w:rsidR="0068125B" w:rsidRPr="0068125B">
        <w:rPr>
          <w:sz w:val="24"/>
          <w:szCs w:val="24"/>
        </w:rPr>
        <w:t>E</w:t>
      </w:r>
      <w:r w:rsidR="003D1B2C">
        <w:rPr>
          <w:sz w:val="24"/>
          <w:szCs w:val="24"/>
        </w:rPr>
        <w:t>nergy Manager</w:t>
      </w:r>
    </w:p>
    <w:p w:rsidR="000629A5" w:rsidRDefault="00D5123D" w:rsidP="000629A5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68125B">
        <w:rPr>
          <w:sz w:val="24"/>
          <w:szCs w:val="24"/>
        </w:rPr>
        <w:t>Ensuring this procedure is kept up to dat</w:t>
      </w:r>
      <w:r w:rsidR="000629A5">
        <w:rPr>
          <w:sz w:val="24"/>
          <w:szCs w:val="24"/>
        </w:rPr>
        <w:t xml:space="preserve">e- </w:t>
      </w:r>
      <w:r w:rsidR="003D1B2C">
        <w:rPr>
          <w:sz w:val="24"/>
          <w:szCs w:val="24"/>
        </w:rPr>
        <w:t>Energy Manger</w:t>
      </w:r>
    </w:p>
    <w:p w:rsidR="000629A5" w:rsidRPr="000629A5" w:rsidRDefault="000629A5" w:rsidP="000629A5">
      <w:pPr>
        <w:pStyle w:val="ListParagraph"/>
        <w:ind w:left="136"/>
        <w:jc w:val="both"/>
        <w:rPr>
          <w:sz w:val="24"/>
          <w:szCs w:val="24"/>
        </w:rPr>
      </w:pPr>
    </w:p>
    <w:p w:rsidR="00C2487D" w:rsidRPr="00B2717F" w:rsidRDefault="00C2487D" w:rsidP="005E4AD8">
      <w:pPr>
        <w:pStyle w:val="ListParagraph"/>
        <w:numPr>
          <w:ilvl w:val="0"/>
          <w:numId w:val="17"/>
        </w:numPr>
        <w:ind w:left="-284" w:firstLine="0"/>
        <w:jc w:val="both"/>
        <w:rPr>
          <w:b/>
          <w:sz w:val="24"/>
          <w:szCs w:val="24"/>
          <w:u w:val="single"/>
        </w:rPr>
      </w:pPr>
      <w:r w:rsidRPr="00B2717F">
        <w:rPr>
          <w:b/>
          <w:sz w:val="24"/>
          <w:szCs w:val="24"/>
          <w:u w:val="single"/>
        </w:rPr>
        <w:t>Location of Records</w:t>
      </w:r>
    </w:p>
    <w:p w:rsidR="007D6C0B" w:rsidRDefault="00CE082B" w:rsidP="005E4AD8">
      <w:pPr>
        <w:ind w:left="-284"/>
        <w:jc w:val="both"/>
        <w:rPr>
          <w:sz w:val="24"/>
          <w:szCs w:val="24"/>
        </w:rPr>
      </w:pPr>
      <w:r w:rsidRPr="00CE082B">
        <w:rPr>
          <w:sz w:val="24"/>
          <w:szCs w:val="24"/>
        </w:rPr>
        <w:t xml:space="preserve">Records </w:t>
      </w:r>
      <w:r>
        <w:rPr>
          <w:sz w:val="24"/>
          <w:szCs w:val="24"/>
        </w:rPr>
        <w:t xml:space="preserve">for all parameters </w:t>
      </w:r>
      <w:proofErr w:type="gramStart"/>
      <w:r w:rsidRPr="00CE082B">
        <w:rPr>
          <w:sz w:val="24"/>
          <w:szCs w:val="24"/>
        </w:rPr>
        <w:t>are kept</w:t>
      </w:r>
      <w:proofErr w:type="gramEnd"/>
      <w:r w:rsidRPr="00CE0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BMS and can be extracted as </w:t>
      </w:r>
      <w:r w:rsidR="0068125B">
        <w:rPr>
          <w:sz w:val="24"/>
          <w:szCs w:val="24"/>
        </w:rPr>
        <w:t>.csv</w:t>
      </w:r>
      <w:r>
        <w:rPr>
          <w:sz w:val="24"/>
          <w:szCs w:val="24"/>
        </w:rPr>
        <w:t xml:space="preserve"> files when required for reporting. Records of abstraction are al</w:t>
      </w:r>
      <w:r w:rsidR="00FE1085">
        <w:rPr>
          <w:sz w:val="24"/>
          <w:szCs w:val="24"/>
        </w:rPr>
        <w:t>so held on Active Energy</w:t>
      </w:r>
      <w:r w:rsidR="00AE2D5D">
        <w:rPr>
          <w:sz w:val="24"/>
          <w:szCs w:val="24"/>
        </w:rPr>
        <w:t xml:space="preserve"> </w:t>
      </w:r>
      <w:r w:rsidR="00FE1085">
        <w:rPr>
          <w:sz w:val="24"/>
          <w:szCs w:val="24"/>
        </w:rPr>
        <w:t>will</w:t>
      </w:r>
      <w:r>
        <w:rPr>
          <w:sz w:val="24"/>
          <w:szCs w:val="24"/>
        </w:rPr>
        <w:t xml:space="preserve"> be extracted for analysis and reporting.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395"/>
        <w:gridCol w:w="4395"/>
      </w:tblGrid>
      <w:tr w:rsidR="00EF242B" w:rsidTr="00EF242B">
        <w:tc>
          <w:tcPr>
            <w:tcW w:w="4395" w:type="dxa"/>
          </w:tcPr>
          <w:p w:rsidR="00EF242B" w:rsidRDefault="00EF242B" w:rsidP="005E4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Abstraction Returns</w:t>
            </w:r>
          </w:p>
        </w:tc>
        <w:tc>
          <w:tcPr>
            <w:tcW w:w="4395" w:type="dxa"/>
          </w:tcPr>
          <w:p w:rsidR="00EF242B" w:rsidRDefault="004522A9" w:rsidP="005E4AD8">
            <w:pPr>
              <w:jc w:val="both"/>
              <w:rPr>
                <w:sz w:val="24"/>
                <w:szCs w:val="24"/>
              </w:rPr>
            </w:pPr>
            <w:hyperlink r:id="rId8" w:history="1">
              <w:r w:rsidR="00EA3518" w:rsidRPr="00EA3518">
                <w:rPr>
                  <w:rStyle w:val="Hyperlink"/>
                  <w:sz w:val="24"/>
                  <w:szCs w:val="24"/>
                </w:rPr>
                <w:t>..\..\..\..\5. Emissions and Dischar</w:t>
              </w:r>
              <w:r w:rsidR="00EA3518" w:rsidRPr="00EA3518">
                <w:rPr>
                  <w:rStyle w:val="Hyperlink"/>
                  <w:sz w:val="24"/>
                  <w:szCs w:val="24"/>
                </w:rPr>
                <w:t>g</w:t>
              </w:r>
              <w:r w:rsidR="00EA3518" w:rsidRPr="00EA3518">
                <w:rPr>
                  <w:rStyle w:val="Hyperlink"/>
                  <w:sz w:val="24"/>
                  <w:szCs w:val="24"/>
                </w:rPr>
                <w:t>es\Borehole\Annual Abstraction Returns</w:t>
              </w:r>
            </w:hyperlink>
          </w:p>
        </w:tc>
      </w:tr>
      <w:tr w:rsidR="00EF242B" w:rsidTr="00EF242B">
        <w:tc>
          <w:tcPr>
            <w:tcW w:w="4395" w:type="dxa"/>
          </w:tcPr>
          <w:p w:rsidR="00EF242B" w:rsidRDefault="00EF242B" w:rsidP="005E4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Permits</w:t>
            </w:r>
            <w:r w:rsidR="00EA3518">
              <w:rPr>
                <w:sz w:val="24"/>
                <w:szCs w:val="24"/>
              </w:rPr>
              <w:t xml:space="preserve"> + </w:t>
            </w:r>
            <w:proofErr w:type="spellStart"/>
            <w:r w:rsidR="00EA3518">
              <w:rPr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4395" w:type="dxa"/>
          </w:tcPr>
          <w:p w:rsidR="00EF242B" w:rsidRDefault="004522A9" w:rsidP="005E4AD8">
            <w:pPr>
              <w:jc w:val="both"/>
              <w:rPr>
                <w:sz w:val="24"/>
                <w:szCs w:val="24"/>
              </w:rPr>
            </w:pPr>
            <w:hyperlink r:id="rId9" w:history="1">
              <w:r w:rsidR="00EA3518" w:rsidRPr="00EA3518">
                <w:rPr>
                  <w:rStyle w:val="Hyperlink"/>
                  <w:sz w:val="24"/>
                  <w:szCs w:val="24"/>
                </w:rPr>
                <w:t>..\..\..\..\5. Emissions and Discharges\Borehole</w:t>
              </w:r>
            </w:hyperlink>
          </w:p>
        </w:tc>
      </w:tr>
      <w:tr w:rsidR="00EF242B" w:rsidTr="00EF242B">
        <w:tc>
          <w:tcPr>
            <w:tcW w:w="4395" w:type="dxa"/>
          </w:tcPr>
          <w:p w:rsidR="00EF242B" w:rsidRDefault="00C84939" w:rsidP="005E4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Borehole Issues log</w:t>
            </w:r>
          </w:p>
        </w:tc>
        <w:tc>
          <w:tcPr>
            <w:tcW w:w="4395" w:type="dxa"/>
          </w:tcPr>
          <w:p w:rsidR="00EF242B" w:rsidRDefault="004522A9" w:rsidP="005E4AD8">
            <w:pPr>
              <w:jc w:val="both"/>
              <w:rPr>
                <w:sz w:val="24"/>
                <w:szCs w:val="24"/>
              </w:rPr>
            </w:pPr>
            <w:hyperlink r:id="rId10" w:history="1">
              <w:r w:rsidR="00EA3518" w:rsidRPr="00EA3518">
                <w:rPr>
                  <w:rStyle w:val="Hyperlink"/>
                  <w:sz w:val="24"/>
                  <w:szCs w:val="24"/>
                </w:rPr>
                <w:t>..\..\..\..\5. Emissions and Discharges\Borehole\Borehole Issues Log.xlsx</w:t>
              </w:r>
            </w:hyperlink>
          </w:p>
        </w:tc>
      </w:tr>
    </w:tbl>
    <w:p w:rsidR="00B250B4" w:rsidRDefault="00B250B4" w:rsidP="00EF242B">
      <w:pPr>
        <w:jc w:val="both"/>
        <w:rPr>
          <w:sz w:val="24"/>
          <w:szCs w:val="24"/>
        </w:rPr>
      </w:pPr>
    </w:p>
    <w:p w:rsidR="00B250B4" w:rsidRPr="00FB27FA" w:rsidRDefault="00B250B4" w:rsidP="00B250B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CHANGES TO THE PROCEDURE</w:t>
      </w:r>
    </w:p>
    <w:tbl>
      <w:tblPr>
        <w:tblW w:w="9742" w:type="dxa"/>
        <w:tblInd w:w="-17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2"/>
      </w:tblGrid>
      <w:tr w:rsidR="00B250B4" w:rsidRPr="00FB27FA" w:rsidTr="0059015B">
        <w:trPr>
          <w:trHeight w:val="524"/>
        </w:trPr>
        <w:tc>
          <w:tcPr>
            <w:tcW w:w="9742" w:type="dxa"/>
            <w:tcBorders>
              <w:bottom w:val="double" w:sz="4" w:space="0" w:color="auto"/>
            </w:tcBorders>
          </w:tcPr>
          <w:p w:rsidR="00B250B4" w:rsidRPr="002E7EC8" w:rsidRDefault="00B250B4" w:rsidP="004D5AB2">
            <w:pPr>
              <w:rPr>
                <w:b/>
                <w:sz w:val="24"/>
                <w:szCs w:val="24"/>
                <w:lang w:val="en-GB"/>
              </w:rPr>
            </w:pPr>
            <w:r w:rsidRPr="002E7EC8">
              <w:rPr>
                <w:b/>
                <w:sz w:val="24"/>
                <w:szCs w:val="24"/>
                <w:lang w:val="en-GB"/>
              </w:rPr>
              <w:t>REASON FOR THE CHANGE</w:t>
            </w:r>
          </w:p>
        </w:tc>
      </w:tr>
      <w:tr w:rsidR="003D1B2C" w:rsidRPr="00FB27FA" w:rsidTr="0059015B">
        <w:trPr>
          <w:trHeight w:val="524"/>
        </w:trPr>
        <w:tc>
          <w:tcPr>
            <w:tcW w:w="9742" w:type="dxa"/>
            <w:tcBorders>
              <w:bottom w:val="double" w:sz="4" w:space="0" w:color="auto"/>
            </w:tcBorders>
          </w:tcPr>
          <w:p w:rsidR="003D1B2C" w:rsidRPr="002E7EC8" w:rsidRDefault="003D1B2C" w:rsidP="004D5AB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11/01/2020- update of roles and responsibilities </w:t>
            </w:r>
          </w:p>
        </w:tc>
      </w:tr>
      <w:tr w:rsidR="00B250B4" w:rsidRPr="00FB27FA" w:rsidTr="0059015B">
        <w:trPr>
          <w:trHeight w:val="524"/>
        </w:trPr>
        <w:tc>
          <w:tcPr>
            <w:tcW w:w="9742" w:type="dxa"/>
            <w:tcBorders>
              <w:top w:val="double" w:sz="4" w:space="0" w:color="auto"/>
            </w:tcBorders>
          </w:tcPr>
          <w:p w:rsidR="00B250B4" w:rsidRPr="00FB27FA" w:rsidRDefault="00EA3518" w:rsidP="008B468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08/02/2018</w:t>
            </w:r>
            <w:r w:rsidR="008B4688">
              <w:rPr>
                <w:b/>
                <w:sz w:val="24"/>
                <w:szCs w:val="24"/>
                <w:lang w:val="en-GB"/>
              </w:rPr>
              <w:t xml:space="preserve"> – removal of cost section. Not relevant to procedure </w:t>
            </w:r>
          </w:p>
        </w:tc>
      </w:tr>
      <w:tr w:rsidR="00B250B4" w:rsidRPr="00FB27FA" w:rsidTr="0059015B">
        <w:trPr>
          <w:trHeight w:val="524"/>
        </w:trPr>
        <w:tc>
          <w:tcPr>
            <w:tcW w:w="9742" w:type="dxa"/>
          </w:tcPr>
          <w:p w:rsidR="00B250B4" w:rsidRPr="000629A5" w:rsidRDefault="000629A5" w:rsidP="000629A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08/03/2017- Simplified wording of procedure</w:t>
            </w:r>
            <w:r w:rsidR="00EF242B">
              <w:rPr>
                <w:b/>
                <w:sz w:val="24"/>
                <w:szCs w:val="24"/>
                <w:lang w:val="en-GB"/>
              </w:rPr>
              <w:t xml:space="preserve"> and updated location of records section</w:t>
            </w:r>
          </w:p>
        </w:tc>
      </w:tr>
      <w:tr w:rsidR="00B250B4" w:rsidRPr="00FB27FA" w:rsidTr="0059015B">
        <w:trPr>
          <w:trHeight w:val="551"/>
        </w:trPr>
        <w:tc>
          <w:tcPr>
            <w:tcW w:w="9742" w:type="dxa"/>
          </w:tcPr>
          <w:p w:rsidR="00B250B4" w:rsidRPr="00EA3518" w:rsidRDefault="00EA3518" w:rsidP="00EA351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11/01/2019- Updated legislation following amendments. Updated Hyperlinks</w:t>
            </w:r>
          </w:p>
        </w:tc>
      </w:tr>
    </w:tbl>
    <w:p w:rsidR="00B250B4" w:rsidRPr="00103DCE" w:rsidRDefault="00B250B4" w:rsidP="00B250B4">
      <w:pPr>
        <w:pStyle w:val="ListParagraph"/>
        <w:ind w:left="284"/>
        <w:rPr>
          <w:b/>
          <w:sz w:val="24"/>
          <w:szCs w:val="24"/>
        </w:rPr>
      </w:pPr>
    </w:p>
    <w:sectPr w:rsidR="00B250B4" w:rsidRPr="00103DCE">
      <w:headerReference w:type="default" r:id="rId11"/>
      <w:footerReference w:type="default" r:id="rId12"/>
      <w:pgSz w:w="11900" w:h="16840"/>
      <w:pgMar w:top="620" w:right="15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7B" w:rsidRDefault="00730C7B" w:rsidP="00910B54">
      <w:pPr>
        <w:spacing w:after="0" w:line="240" w:lineRule="auto"/>
      </w:pPr>
      <w:r>
        <w:separator/>
      </w:r>
    </w:p>
  </w:endnote>
  <w:endnote w:type="continuationSeparator" w:id="0">
    <w:p w:rsidR="00730C7B" w:rsidRDefault="00730C7B" w:rsidP="0091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567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C7B" w:rsidRDefault="00730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2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C7B" w:rsidRDefault="00730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7B" w:rsidRDefault="00730C7B" w:rsidP="00910B54">
      <w:pPr>
        <w:spacing w:after="0" w:line="240" w:lineRule="auto"/>
      </w:pPr>
      <w:r>
        <w:separator/>
      </w:r>
    </w:p>
  </w:footnote>
  <w:footnote w:type="continuationSeparator" w:id="0">
    <w:p w:rsidR="00730C7B" w:rsidRDefault="00730C7B" w:rsidP="0091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3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1701"/>
      <w:gridCol w:w="3119"/>
    </w:tblGrid>
    <w:tr w:rsidR="00730C7B" w:rsidRPr="00FB27FA" w:rsidTr="004D5AB2">
      <w:trPr>
        <w:trHeight w:hRule="exact" w:val="286"/>
      </w:trPr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30C7B" w:rsidRPr="00FB27FA" w:rsidRDefault="00730C7B" w:rsidP="004D5AB2">
          <w:pPr>
            <w:widowControl/>
            <w:spacing w:after="0" w:line="272" w:lineRule="exact"/>
            <w:ind w:left="897" w:right="-20" w:hanging="567"/>
            <w:jc w:val="center"/>
            <w:rPr>
              <w:rFonts w:ascii="Arial" w:eastAsia="Arial" w:hAnsi="Arial" w:cs="Arial"/>
              <w:sz w:val="24"/>
              <w:szCs w:val="24"/>
              <w:lang w:val="en-GB"/>
            </w:rPr>
          </w:pPr>
          <w:r w:rsidRPr="00FB27FA">
            <w:rPr>
              <w:rFonts w:ascii="Arial" w:eastAsia="Arial" w:hAnsi="Arial" w:cs="Arial"/>
              <w:sz w:val="24"/>
              <w:szCs w:val="24"/>
              <w:lang w:val="en-GB"/>
            </w:rPr>
            <w:t xml:space="preserve">   </w:t>
          </w:r>
        </w:p>
        <w:p w:rsidR="00730C7B" w:rsidRPr="00FB27FA" w:rsidRDefault="00730C7B" w:rsidP="004D5AB2">
          <w:pPr>
            <w:widowControl/>
            <w:spacing w:after="0" w:line="272" w:lineRule="exact"/>
            <w:ind w:left="1038" w:right="-20" w:hanging="567"/>
            <w:jc w:val="center"/>
            <w:rPr>
              <w:rFonts w:ascii="Arial" w:eastAsia="Arial" w:hAnsi="Arial" w:cs="Arial"/>
              <w:sz w:val="24"/>
              <w:szCs w:val="24"/>
              <w:lang w:val="en-GB"/>
            </w:rPr>
          </w:pPr>
          <w:r w:rsidRPr="00FB27FA">
            <w:rPr>
              <w:rFonts w:ascii="Arial" w:eastAsia="Arial" w:hAnsi="Arial" w:cs="Arial"/>
              <w:sz w:val="24"/>
              <w:szCs w:val="24"/>
              <w:lang w:val="en-GB"/>
            </w:rPr>
            <w:t xml:space="preserve">  MMU Environmental Management</w:t>
          </w:r>
        </w:p>
        <w:p w:rsidR="00730C7B" w:rsidRPr="00FB27FA" w:rsidRDefault="00730C7B" w:rsidP="004D5AB2">
          <w:pPr>
            <w:widowControl/>
            <w:spacing w:after="0" w:line="272" w:lineRule="exact"/>
            <w:ind w:left="897" w:right="-20" w:hanging="567"/>
            <w:jc w:val="center"/>
            <w:rPr>
              <w:rFonts w:ascii="Arial" w:eastAsia="Arial" w:hAnsi="Arial" w:cs="Arial"/>
              <w:sz w:val="24"/>
              <w:szCs w:val="24"/>
              <w:lang w:val="en-GB"/>
            </w:rPr>
          </w:pPr>
          <w:r w:rsidRPr="00FB27FA">
            <w:rPr>
              <w:rFonts w:ascii="Calibri" w:eastAsia="Calibri" w:hAnsi="Calibri" w:cs="Times New Roman"/>
              <w:noProof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776135F" wp14:editId="67D216D3">
                    <wp:simplePos x="0" y="0"/>
                    <wp:positionH relativeFrom="column">
                      <wp:posOffset>144743</wp:posOffset>
                    </wp:positionH>
                    <wp:positionV relativeFrom="paragraph">
                      <wp:posOffset>183047</wp:posOffset>
                    </wp:positionV>
                    <wp:extent cx="638355" cy="603849"/>
                    <wp:effectExtent l="0" t="0" r="9525" b="635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8355" cy="6038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0C7B" w:rsidRDefault="00730C7B" w:rsidP="005E4AD8"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F04FCFA" wp14:editId="3D69E0A2">
                                      <wp:extent cx="396815" cy="470704"/>
                                      <wp:effectExtent l="0" t="0" r="3810" b="5715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97074" cy="47101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76135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11.4pt;margin-top:14.4pt;width:50.25pt;height: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xSggIAAA4FAAAOAAAAZHJzL2Uyb0RvYy54bWysVFtv2yAUfp+0/4B4T22nJI2tOtXaLtOk&#10;7iK1+wEEcIyGgQGJ3U377zvgJE13kaZpfsBcDt+5fN/h8mroFNoJ56XRNS7OcoyEZoZLvanxp4fV&#10;ZIGRD1RzqowWNX4UHl8tX7647G0lpqY1iguHAET7qrc1bkOwVZZ51oqO+jNjhYbDxriOBli6TcYd&#10;7QG9U9k0z+dZbxy3zjDhPezejod4mfCbRrDwoWm8CEjVGGILaXRpXMcxW17SauOobSXbh0H/IYqO&#10;Sg1Oj1C3NFC0dfIXqE4yZ7xpwhkzXWaaRjKRcoBsivynbO5bakXKBYrj7bFM/v/Bsve7jw5JXmOC&#10;kaYdUPQghoCuzYBIrE5vfQVG9xbMwgDbwHLK1Ns7wz57pM1NS/VGvHLO9K2gHKIr4s3s5OqI4yPI&#10;un9nOLih22AS0NC4LpYOioEAHVh6PDITQ2GwOT9fnM9mGDE4mufnC1ImD7Q6XLbOhzfCdChOauyA&#10;+AROd3c+xGBodTCJvrxRkq+kUmnhNusb5dCOgkhW6dujPzNTOhprE6+NiOMOxAg+4lmMNpH+rSym&#10;JL+elpPVfHExISsym5QX+WKSF+V1Oc9JSW5X32OABalaybnQd1KLgwAL8ncE71thlE6SIOprXM6m&#10;s5GhPyaZp+93SXYyQD8q2dV4cTSiVeT1teaQNq0ClWqcZ8/DT1WGGhz+qSpJBZH4UQJhWA+AEqWx&#10;NvwR9OAM8AWkwyMCk9a4rxj10JA19l+21AmM1FsNmioLQmIHpwWZXUxh4U5P1qcnVDOAqnHAaJze&#10;hLHrt9bJTQueRhVr8wp02Mikkaeo9uqFpkvJ7B+I2NWn62T19IwtfwAAAP//AwBQSwMEFAAGAAgA&#10;AAAhAEx77ZDcAAAACQEAAA8AAABkcnMvZG93bnJldi54bWxMj81Ow0AMhO9IvMPKSFwQ3ZBCf0I2&#10;FSCBuLb0AZysm0RkvVF226Rvj8sFTmNrrPE3+WZynTrREFrPBh5mCSjiytuWawP7r/f7FagQkS12&#10;nsnAmQJsiuurHDPrR97SaRdrJSEcMjTQxNhnWoeqIYdh5nti8Q5+cBhlHWptBxwl3HU6TZKFdtiy&#10;fGiwp7eGqu/d0Rk4fI53T+ux/Ij75fZx8YrtsvRnY25vppdnUJGm+HcMF3xBh0KYSn9kG1RnIE2F&#10;PIquRC9+Op+DKn+HNegi1/8bFD8AAAD//wMAUEsBAi0AFAAGAAgAAAAhALaDOJL+AAAA4QEAABMA&#10;AAAAAAAAAAAAAAAAAAAAAFtDb250ZW50X1R5cGVzXS54bWxQSwECLQAUAAYACAAAACEAOP0h/9YA&#10;AACUAQAACwAAAAAAAAAAAAAAAAAvAQAAX3JlbHMvLnJlbHNQSwECLQAUAAYACAAAACEAT3YMUoIC&#10;AAAOBQAADgAAAAAAAAAAAAAAAAAuAgAAZHJzL2Uyb0RvYy54bWxQSwECLQAUAAYACAAAACEATHvt&#10;kNwAAAAJAQAADwAAAAAAAAAAAAAAAADcBAAAZHJzL2Rvd25yZXYueG1sUEsFBgAAAAAEAAQA8wAA&#10;AOUFAAAAAA==&#10;" stroked="f">
                    <v:textbox>
                      <w:txbxContent>
                        <w:p w:rsidR="005E4AD8" w:rsidRDefault="005E4AD8" w:rsidP="005E4AD8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F04FCFA" wp14:editId="3D69E0A2">
                                <wp:extent cx="396815" cy="470704"/>
                                <wp:effectExtent l="0" t="0" r="3810" b="571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7074" cy="4710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B27FA">
            <w:rPr>
              <w:rFonts w:ascii="Arial" w:eastAsia="Arial" w:hAnsi="Arial" w:cs="Arial"/>
              <w:sz w:val="24"/>
              <w:szCs w:val="24"/>
              <w:lang w:val="en-GB"/>
            </w:rPr>
            <w:t>System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0C7B" w:rsidRPr="00FB27FA" w:rsidRDefault="00730C7B" w:rsidP="004D5AB2">
          <w:pPr>
            <w:widowControl/>
            <w:spacing w:after="0" w:line="273" w:lineRule="exact"/>
            <w:ind w:right="82"/>
            <w:rPr>
              <w:rFonts w:ascii="Arial" w:eastAsia="Arial" w:hAnsi="Arial" w:cs="Arial"/>
              <w:lang w:val="en-GB"/>
            </w:rPr>
          </w:pPr>
          <w:r w:rsidRPr="00FB27FA">
            <w:rPr>
              <w:rFonts w:ascii="Arial" w:eastAsia="Arial" w:hAnsi="Arial" w:cs="Arial"/>
              <w:b/>
              <w:bCs/>
              <w:lang w:val="en-GB"/>
            </w:rPr>
            <w:t xml:space="preserve">    Ref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0C7B" w:rsidRPr="00D641F1" w:rsidRDefault="00730C7B" w:rsidP="00031BA7">
          <w:pPr>
            <w:widowControl/>
            <w:spacing w:after="0" w:line="272" w:lineRule="exact"/>
            <w:ind w:right="-20"/>
            <w:rPr>
              <w:rFonts w:ascii="Arial" w:eastAsia="Arial" w:hAnsi="Arial" w:cs="Arial"/>
              <w:sz w:val="20"/>
              <w:szCs w:val="20"/>
              <w:lang w:val="en-GB"/>
            </w:rPr>
          </w:pPr>
          <w:r>
            <w:rPr>
              <w:rFonts w:ascii="Arial" w:eastAsia="Arial" w:hAnsi="Arial" w:cs="Arial"/>
              <w:sz w:val="20"/>
              <w:szCs w:val="20"/>
              <w:lang w:val="en-GB"/>
            </w:rPr>
            <w:t>GB</w:t>
          </w:r>
        </w:p>
      </w:tc>
    </w:tr>
    <w:tr w:rsidR="00730C7B" w:rsidRPr="00FB27FA" w:rsidTr="004D5AB2">
      <w:trPr>
        <w:trHeight w:hRule="exact" w:val="286"/>
      </w:trPr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30C7B" w:rsidRPr="00FB27FA" w:rsidRDefault="00730C7B" w:rsidP="004D5AB2">
          <w:pPr>
            <w:widowControl/>
            <w:spacing w:after="0" w:line="272" w:lineRule="exact"/>
            <w:ind w:left="897" w:right="-20" w:hanging="567"/>
            <w:jc w:val="center"/>
            <w:rPr>
              <w:rFonts w:ascii="Calibri" w:eastAsia="Calibri" w:hAnsi="Calibri" w:cs="Times New Roman"/>
              <w:noProof/>
              <w:sz w:val="24"/>
              <w:szCs w:val="24"/>
              <w:lang w:val="en-GB" w:eastAsia="en-GB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0C7B" w:rsidRPr="00FB27FA" w:rsidRDefault="00730C7B" w:rsidP="004D5AB2">
          <w:pPr>
            <w:widowControl/>
            <w:spacing w:after="0" w:line="273" w:lineRule="exact"/>
            <w:ind w:left="273" w:right="-20"/>
            <w:rPr>
              <w:rFonts w:ascii="Arial" w:eastAsia="Arial" w:hAnsi="Arial" w:cs="Arial"/>
              <w:b/>
              <w:bCs/>
              <w:lang w:val="en-GB"/>
            </w:rPr>
          </w:pPr>
          <w:r w:rsidRPr="00FB27FA">
            <w:rPr>
              <w:rFonts w:ascii="Arial" w:eastAsia="Arial" w:hAnsi="Arial" w:cs="Arial"/>
              <w:b/>
              <w:bCs/>
              <w:lang w:val="en-GB"/>
            </w:rPr>
            <w:t>Version</w:t>
          </w:r>
        </w:p>
        <w:p w:rsidR="00730C7B" w:rsidRPr="00FB27FA" w:rsidRDefault="00730C7B" w:rsidP="004D5AB2">
          <w:pPr>
            <w:widowControl/>
            <w:spacing w:after="0" w:line="273" w:lineRule="exact"/>
            <w:ind w:left="273" w:right="-20"/>
            <w:rPr>
              <w:rFonts w:ascii="Arial" w:eastAsia="Arial" w:hAnsi="Arial" w:cs="Arial"/>
              <w:lang w:val="en-GB"/>
            </w:rPr>
          </w:pP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0C7B" w:rsidRPr="00D641F1" w:rsidRDefault="003D1B2C" w:rsidP="00031BA7">
          <w:pPr>
            <w:widowControl/>
            <w:spacing w:after="0" w:line="272" w:lineRule="exact"/>
            <w:ind w:right="-20"/>
            <w:rPr>
              <w:rFonts w:ascii="Arial" w:eastAsia="Arial" w:hAnsi="Arial" w:cs="Arial"/>
              <w:sz w:val="20"/>
              <w:szCs w:val="20"/>
              <w:lang w:val="en-GB"/>
            </w:rPr>
          </w:pPr>
          <w:r>
            <w:rPr>
              <w:rFonts w:ascii="Arial" w:eastAsia="Arial" w:hAnsi="Arial" w:cs="Arial"/>
              <w:sz w:val="20"/>
              <w:szCs w:val="20"/>
              <w:lang w:val="en-GB"/>
            </w:rPr>
            <w:t>5</w:t>
          </w:r>
        </w:p>
      </w:tc>
    </w:tr>
    <w:tr w:rsidR="00730C7B" w:rsidRPr="00FB27FA" w:rsidTr="004D5AB2">
      <w:trPr>
        <w:trHeight w:hRule="exact" w:val="286"/>
      </w:trPr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30C7B" w:rsidRPr="00FB27FA" w:rsidRDefault="00730C7B" w:rsidP="004D5AB2">
          <w:pPr>
            <w:widowControl/>
            <w:spacing w:after="0" w:line="272" w:lineRule="exact"/>
            <w:ind w:left="897" w:right="-20" w:hanging="567"/>
            <w:jc w:val="center"/>
            <w:rPr>
              <w:rFonts w:ascii="Calibri" w:eastAsia="Calibri" w:hAnsi="Calibri" w:cs="Times New Roman"/>
              <w:noProof/>
              <w:sz w:val="24"/>
              <w:szCs w:val="24"/>
              <w:lang w:val="en-GB" w:eastAsia="en-GB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0C7B" w:rsidRPr="00FB27FA" w:rsidRDefault="00730C7B" w:rsidP="004D5AB2">
          <w:pPr>
            <w:widowControl/>
            <w:spacing w:after="0" w:line="273" w:lineRule="exact"/>
            <w:ind w:left="273" w:right="-20"/>
            <w:rPr>
              <w:rFonts w:ascii="Arial" w:eastAsia="Arial" w:hAnsi="Arial" w:cs="Arial"/>
              <w:b/>
              <w:bCs/>
              <w:lang w:val="en-GB"/>
            </w:rPr>
          </w:pPr>
          <w:r w:rsidRPr="00FB27FA">
            <w:rPr>
              <w:rFonts w:ascii="Arial" w:eastAsia="Arial" w:hAnsi="Arial" w:cs="Arial"/>
              <w:b/>
              <w:bCs/>
              <w:lang w:val="en-GB"/>
            </w:rPr>
            <w:t>Date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0C7B" w:rsidRPr="00D641F1" w:rsidRDefault="003D1B2C" w:rsidP="000629A5">
          <w:pPr>
            <w:widowControl/>
            <w:spacing w:after="0" w:line="272" w:lineRule="exact"/>
            <w:ind w:right="-20"/>
            <w:rPr>
              <w:rFonts w:ascii="Arial" w:eastAsia="Arial" w:hAnsi="Arial" w:cs="Arial"/>
              <w:sz w:val="20"/>
              <w:szCs w:val="20"/>
              <w:lang w:val="en-GB"/>
            </w:rPr>
          </w:pPr>
          <w:r>
            <w:rPr>
              <w:rFonts w:ascii="Arial" w:eastAsia="Arial" w:hAnsi="Arial" w:cs="Arial"/>
              <w:sz w:val="20"/>
              <w:szCs w:val="20"/>
              <w:lang w:val="en-GB"/>
            </w:rPr>
            <w:t>11/01/2021</w:t>
          </w:r>
        </w:p>
      </w:tc>
    </w:tr>
    <w:tr w:rsidR="00730C7B" w:rsidRPr="00FB27FA" w:rsidTr="004D5AB2">
      <w:trPr>
        <w:trHeight w:hRule="exact" w:val="426"/>
      </w:trPr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30C7B" w:rsidRPr="00FB27FA" w:rsidRDefault="00730C7B" w:rsidP="004D5AB2">
          <w:pPr>
            <w:widowControl/>
            <w:spacing w:after="0" w:line="272" w:lineRule="exact"/>
            <w:ind w:left="897" w:right="-20" w:hanging="567"/>
            <w:jc w:val="center"/>
            <w:rPr>
              <w:rFonts w:ascii="Calibri" w:eastAsia="Calibri" w:hAnsi="Calibri" w:cs="Times New Roman"/>
              <w:noProof/>
              <w:sz w:val="24"/>
              <w:szCs w:val="24"/>
              <w:lang w:val="en-GB" w:eastAsia="en-GB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0C7B" w:rsidRPr="00FB27FA" w:rsidRDefault="00730C7B" w:rsidP="004D5AB2">
          <w:pPr>
            <w:widowControl/>
            <w:spacing w:after="0" w:line="273" w:lineRule="exact"/>
            <w:ind w:right="82"/>
            <w:rPr>
              <w:rFonts w:ascii="Arial" w:eastAsia="Arial" w:hAnsi="Arial" w:cs="Arial"/>
              <w:b/>
              <w:bCs/>
              <w:lang w:val="en-GB"/>
            </w:rPr>
          </w:pPr>
          <w:r w:rsidRPr="00FB27FA">
            <w:rPr>
              <w:rFonts w:ascii="Arial" w:eastAsia="Arial" w:hAnsi="Arial" w:cs="Arial"/>
              <w:b/>
              <w:bCs/>
              <w:lang w:val="en-GB"/>
            </w:rPr>
            <w:t xml:space="preserve">    Author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0C7B" w:rsidRPr="00D641F1" w:rsidRDefault="003D1B2C" w:rsidP="00031BA7">
          <w:pPr>
            <w:widowControl/>
            <w:spacing w:after="0" w:line="272" w:lineRule="exact"/>
            <w:ind w:right="-20"/>
            <w:rPr>
              <w:rFonts w:ascii="Arial" w:eastAsia="Arial" w:hAnsi="Arial" w:cs="Arial"/>
              <w:sz w:val="20"/>
              <w:szCs w:val="20"/>
              <w:lang w:val="en-GB"/>
            </w:rPr>
          </w:pPr>
          <w:r>
            <w:rPr>
              <w:rFonts w:ascii="Arial" w:eastAsia="Arial" w:hAnsi="Arial" w:cs="Arial"/>
              <w:sz w:val="20"/>
              <w:szCs w:val="20"/>
              <w:lang w:val="en-GB"/>
            </w:rPr>
            <w:t>Energy Manager</w:t>
          </w:r>
        </w:p>
        <w:p w:rsidR="00730C7B" w:rsidRPr="00D641F1" w:rsidRDefault="00730C7B" w:rsidP="004D5AB2">
          <w:pPr>
            <w:widowControl/>
            <w:spacing w:after="0" w:line="272" w:lineRule="exact"/>
            <w:ind w:right="-20"/>
            <w:rPr>
              <w:rFonts w:ascii="Arial" w:eastAsia="Arial" w:hAnsi="Arial" w:cs="Arial"/>
              <w:sz w:val="20"/>
              <w:szCs w:val="20"/>
              <w:lang w:val="en-GB"/>
            </w:rPr>
          </w:pPr>
        </w:p>
        <w:p w:rsidR="00730C7B" w:rsidRPr="00D641F1" w:rsidRDefault="00730C7B" w:rsidP="004D5AB2">
          <w:pPr>
            <w:widowControl/>
            <w:spacing w:after="0" w:line="272" w:lineRule="exact"/>
            <w:ind w:left="102" w:right="-20"/>
            <w:rPr>
              <w:rFonts w:ascii="Arial" w:eastAsia="Arial" w:hAnsi="Arial" w:cs="Arial"/>
              <w:sz w:val="20"/>
              <w:szCs w:val="20"/>
              <w:lang w:val="en-GB"/>
            </w:rPr>
          </w:pPr>
        </w:p>
        <w:p w:rsidR="00730C7B" w:rsidRPr="00D641F1" w:rsidRDefault="00730C7B" w:rsidP="004D5AB2">
          <w:pPr>
            <w:widowControl/>
            <w:spacing w:after="0" w:line="272" w:lineRule="exact"/>
            <w:ind w:left="102" w:right="-20"/>
            <w:rPr>
              <w:rFonts w:ascii="Arial" w:eastAsia="Arial" w:hAnsi="Arial" w:cs="Arial"/>
              <w:sz w:val="20"/>
              <w:szCs w:val="20"/>
              <w:lang w:val="en-GB"/>
            </w:rPr>
          </w:pPr>
        </w:p>
        <w:p w:rsidR="00730C7B" w:rsidRPr="00D641F1" w:rsidRDefault="00730C7B" w:rsidP="004D5AB2">
          <w:pPr>
            <w:widowControl/>
            <w:spacing w:after="0" w:line="272" w:lineRule="exact"/>
            <w:ind w:left="102" w:right="-20"/>
            <w:rPr>
              <w:rFonts w:ascii="Arial" w:eastAsia="Arial" w:hAnsi="Arial" w:cs="Arial"/>
              <w:sz w:val="20"/>
              <w:szCs w:val="20"/>
              <w:lang w:val="en-GB"/>
            </w:rPr>
          </w:pPr>
        </w:p>
      </w:tc>
    </w:tr>
    <w:tr w:rsidR="00730C7B" w:rsidRPr="00FB27FA" w:rsidTr="004D5AB2">
      <w:trPr>
        <w:trHeight w:val="567"/>
      </w:trPr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730C7B" w:rsidRPr="00FB27FA" w:rsidRDefault="00730C7B" w:rsidP="004D5AB2">
          <w:pPr>
            <w:widowControl/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val="en-GB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30C7B" w:rsidRPr="00FB27FA" w:rsidRDefault="00730C7B" w:rsidP="004D5AB2">
          <w:pPr>
            <w:widowControl/>
            <w:spacing w:after="0" w:line="273" w:lineRule="exact"/>
            <w:ind w:left="273" w:right="-20"/>
            <w:rPr>
              <w:rFonts w:ascii="Arial" w:eastAsia="Arial" w:hAnsi="Arial" w:cs="Arial"/>
              <w:b/>
              <w:lang w:val="en-GB"/>
            </w:rPr>
          </w:pPr>
          <w:r w:rsidRPr="00FB27FA">
            <w:rPr>
              <w:rFonts w:ascii="Arial" w:eastAsia="Arial" w:hAnsi="Arial" w:cs="Arial"/>
              <w:b/>
              <w:lang w:val="en-GB"/>
            </w:rPr>
            <w:t>Approved by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30C7B" w:rsidRPr="00FB27FA" w:rsidRDefault="00EA3518" w:rsidP="00031BA7">
          <w:pPr>
            <w:widowControl/>
            <w:spacing w:after="0" w:line="272" w:lineRule="exact"/>
            <w:ind w:right="-20"/>
            <w:rPr>
              <w:rFonts w:ascii="Arial" w:eastAsia="Arial" w:hAnsi="Arial" w:cs="Arial"/>
              <w:sz w:val="20"/>
              <w:szCs w:val="20"/>
              <w:lang w:val="en-GB"/>
            </w:rPr>
          </w:pPr>
          <w:r>
            <w:rPr>
              <w:rFonts w:ascii="Arial" w:eastAsia="Arial" w:hAnsi="Arial" w:cs="Arial"/>
              <w:sz w:val="20"/>
              <w:szCs w:val="20"/>
              <w:lang w:val="en-GB"/>
            </w:rPr>
            <w:t>Head of Environmental Sustainability</w:t>
          </w:r>
        </w:p>
      </w:tc>
    </w:tr>
    <w:tr w:rsidR="00730C7B" w:rsidRPr="00FB27FA" w:rsidTr="004D5AB2">
      <w:trPr>
        <w:trHeight w:hRule="exact" w:val="1115"/>
      </w:trPr>
      <w:tc>
        <w:tcPr>
          <w:tcW w:w="9498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17365D"/>
        </w:tcPr>
        <w:p w:rsidR="00730C7B" w:rsidRPr="005E4AD8" w:rsidRDefault="00730C7B" w:rsidP="005E4AD8">
          <w:pPr>
            <w:jc w:val="center"/>
            <w:rPr>
              <w:sz w:val="28"/>
              <w:szCs w:val="28"/>
            </w:rPr>
          </w:pPr>
          <w:r w:rsidRPr="005E4AD8">
            <w:rPr>
              <w:sz w:val="28"/>
              <w:szCs w:val="28"/>
            </w:rPr>
            <w:t>Operation of Groundwater Borehole and Ground Source Heat Pump at MMU Business School and Birley</w:t>
          </w:r>
          <w:r>
            <w:rPr>
              <w:sz w:val="28"/>
              <w:szCs w:val="28"/>
            </w:rPr>
            <w:t xml:space="preserve"> Campus</w:t>
          </w:r>
        </w:p>
        <w:p w:rsidR="00730C7B" w:rsidRPr="00FB27FA" w:rsidRDefault="00730C7B" w:rsidP="004D5AB2">
          <w:pPr>
            <w:widowControl/>
            <w:tabs>
              <w:tab w:val="left" w:pos="897"/>
            </w:tabs>
            <w:spacing w:after="0" w:line="240" w:lineRule="auto"/>
            <w:ind w:left="755" w:right="51" w:hanging="643"/>
            <w:jc w:val="center"/>
            <w:rPr>
              <w:rFonts w:ascii="Arial" w:eastAsia="Arial" w:hAnsi="Arial" w:cs="Arial"/>
              <w:sz w:val="24"/>
              <w:szCs w:val="24"/>
              <w:lang w:val="en-GB"/>
            </w:rPr>
          </w:pPr>
        </w:p>
      </w:tc>
    </w:tr>
  </w:tbl>
  <w:p w:rsidR="00730C7B" w:rsidRDefault="00730C7B">
    <w:pPr>
      <w:pStyle w:val="Header"/>
    </w:pPr>
  </w:p>
  <w:p w:rsidR="00730C7B" w:rsidRDefault="00730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418"/>
    <w:multiLevelType w:val="hybridMultilevel"/>
    <w:tmpl w:val="0D1C5E4A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73C0453"/>
    <w:multiLevelType w:val="hybridMultilevel"/>
    <w:tmpl w:val="B87036BE"/>
    <w:lvl w:ilvl="0" w:tplc="422A9070">
      <w:start w:val="1"/>
      <w:numFmt w:val="bullet"/>
      <w:lvlText w:val="-"/>
      <w:lvlJc w:val="left"/>
      <w:pPr>
        <w:ind w:left="13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2" w15:restartNumberingAfterBreak="0">
    <w:nsid w:val="19DF2CAB"/>
    <w:multiLevelType w:val="hybridMultilevel"/>
    <w:tmpl w:val="B00A1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A3377"/>
    <w:multiLevelType w:val="hybridMultilevel"/>
    <w:tmpl w:val="B2F4C25A"/>
    <w:lvl w:ilvl="0" w:tplc="DCE83176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1E3877F0"/>
    <w:multiLevelType w:val="hybridMultilevel"/>
    <w:tmpl w:val="EC02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87311"/>
    <w:multiLevelType w:val="hybridMultilevel"/>
    <w:tmpl w:val="A8BA6D98"/>
    <w:lvl w:ilvl="0" w:tplc="DCE831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C40951"/>
    <w:multiLevelType w:val="hybridMultilevel"/>
    <w:tmpl w:val="2C229A90"/>
    <w:lvl w:ilvl="0" w:tplc="08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7" w15:restartNumberingAfterBreak="0">
    <w:nsid w:val="2E193D68"/>
    <w:multiLevelType w:val="hybridMultilevel"/>
    <w:tmpl w:val="90F0B510"/>
    <w:lvl w:ilvl="0" w:tplc="DCE83176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332377E9"/>
    <w:multiLevelType w:val="hybridMultilevel"/>
    <w:tmpl w:val="F020BF9C"/>
    <w:lvl w:ilvl="0" w:tplc="08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410B73AB"/>
    <w:multiLevelType w:val="hybridMultilevel"/>
    <w:tmpl w:val="04D01D5A"/>
    <w:lvl w:ilvl="0" w:tplc="DCE83176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48937CFC"/>
    <w:multiLevelType w:val="hybridMultilevel"/>
    <w:tmpl w:val="51A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7236"/>
    <w:multiLevelType w:val="hybridMultilevel"/>
    <w:tmpl w:val="DE68E39A"/>
    <w:lvl w:ilvl="0" w:tplc="8E32A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F3533"/>
    <w:multiLevelType w:val="hybridMultilevel"/>
    <w:tmpl w:val="CD6AEEFA"/>
    <w:lvl w:ilvl="0" w:tplc="F7F2BA04">
      <w:start w:val="1"/>
      <w:numFmt w:val="bullet"/>
      <w:lvlText w:val="-"/>
      <w:lvlJc w:val="left"/>
      <w:pPr>
        <w:ind w:left="6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3" w15:restartNumberingAfterBreak="0">
    <w:nsid w:val="57DB2A37"/>
    <w:multiLevelType w:val="hybridMultilevel"/>
    <w:tmpl w:val="F9223C6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B430C"/>
    <w:multiLevelType w:val="hybridMultilevel"/>
    <w:tmpl w:val="60809BF4"/>
    <w:lvl w:ilvl="0" w:tplc="C408FC7A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5F9F1EF3"/>
    <w:multiLevelType w:val="hybridMultilevel"/>
    <w:tmpl w:val="0492C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E4588"/>
    <w:multiLevelType w:val="hybridMultilevel"/>
    <w:tmpl w:val="7AE2B65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53A2823"/>
    <w:multiLevelType w:val="hybridMultilevel"/>
    <w:tmpl w:val="A21CA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E2574"/>
    <w:multiLevelType w:val="hybridMultilevel"/>
    <w:tmpl w:val="160A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C003F"/>
    <w:multiLevelType w:val="hybridMultilevel"/>
    <w:tmpl w:val="B09E3E4C"/>
    <w:lvl w:ilvl="0" w:tplc="DCE83176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 w15:restartNumberingAfterBreak="0">
    <w:nsid w:val="724F0C70"/>
    <w:multiLevelType w:val="multilevel"/>
    <w:tmpl w:val="9B684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AC7E0A"/>
    <w:multiLevelType w:val="hybridMultilevel"/>
    <w:tmpl w:val="372E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C13F4"/>
    <w:multiLevelType w:val="hybridMultilevel"/>
    <w:tmpl w:val="6744FFC8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E4F773A"/>
    <w:multiLevelType w:val="hybridMultilevel"/>
    <w:tmpl w:val="9344465C"/>
    <w:lvl w:ilvl="0" w:tplc="08090001">
      <w:start w:val="1"/>
      <w:numFmt w:val="bullet"/>
      <w:lvlText w:val=""/>
      <w:lvlJc w:val="left"/>
      <w:pPr>
        <w:ind w:left="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24" w15:restartNumberingAfterBreak="0">
    <w:nsid w:val="7F6224E8"/>
    <w:multiLevelType w:val="hybridMultilevel"/>
    <w:tmpl w:val="110E95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8"/>
  </w:num>
  <w:num w:numId="5">
    <w:abstractNumId w:val="12"/>
  </w:num>
  <w:num w:numId="6">
    <w:abstractNumId w:val="6"/>
  </w:num>
  <w:num w:numId="7">
    <w:abstractNumId w:val="21"/>
  </w:num>
  <w:num w:numId="8">
    <w:abstractNumId w:val="5"/>
  </w:num>
  <w:num w:numId="9">
    <w:abstractNumId w:val="14"/>
  </w:num>
  <w:num w:numId="10">
    <w:abstractNumId w:val="9"/>
  </w:num>
  <w:num w:numId="11">
    <w:abstractNumId w:val="3"/>
  </w:num>
  <w:num w:numId="12">
    <w:abstractNumId w:val="19"/>
  </w:num>
  <w:num w:numId="13">
    <w:abstractNumId w:val="7"/>
  </w:num>
  <w:num w:numId="14">
    <w:abstractNumId w:val="15"/>
  </w:num>
  <w:num w:numId="15">
    <w:abstractNumId w:val="17"/>
  </w:num>
  <w:num w:numId="16">
    <w:abstractNumId w:val="13"/>
  </w:num>
  <w:num w:numId="17">
    <w:abstractNumId w:val="11"/>
  </w:num>
  <w:num w:numId="18">
    <w:abstractNumId w:val="10"/>
  </w:num>
  <w:num w:numId="19">
    <w:abstractNumId w:val="24"/>
  </w:num>
  <w:num w:numId="20">
    <w:abstractNumId w:val="20"/>
  </w:num>
  <w:num w:numId="21">
    <w:abstractNumId w:val="22"/>
  </w:num>
  <w:num w:numId="22">
    <w:abstractNumId w:val="1"/>
  </w:num>
  <w:num w:numId="23">
    <w:abstractNumId w:val="23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E7"/>
    <w:rsid w:val="0002750C"/>
    <w:rsid w:val="00027CB3"/>
    <w:rsid w:val="00031BA7"/>
    <w:rsid w:val="00036B09"/>
    <w:rsid w:val="000629A5"/>
    <w:rsid w:val="000B628C"/>
    <w:rsid w:val="000E0C5D"/>
    <w:rsid w:val="000E132B"/>
    <w:rsid w:val="00140A34"/>
    <w:rsid w:val="00180BE0"/>
    <w:rsid w:val="001D11AE"/>
    <w:rsid w:val="00211EE7"/>
    <w:rsid w:val="00214338"/>
    <w:rsid w:val="00266668"/>
    <w:rsid w:val="002B5C33"/>
    <w:rsid w:val="002C2E0D"/>
    <w:rsid w:val="002F08F9"/>
    <w:rsid w:val="002F7F4B"/>
    <w:rsid w:val="00326C9D"/>
    <w:rsid w:val="0034386B"/>
    <w:rsid w:val="00346D86"/>
    <w:rsid w:val="003510CA"/>
    <w:rsid w:val="003A5787"/>
    <w:rsid w:val="003D1B2C"/>
    <w:rsid w:val="003D2D31"/>
    <w:rsid w:val="00406095"/>
    <w:rsid w:val="00424C14"/>
    <w:rsid w:val="004522A9"/>
    <w:rsid w:val="004774F1"/>
    <w:rsid w:val="00477FED"/>
    <w:rsid w:val="004C710D"/>
    <w:rsid w:val="004D5AB2"/>
    <w:rsid w:val="005654FA"/>
    <w:rsid w:val="00573EBE"/>
    <w:rsid w:val="00585B2C"/>
    <w:rsid w:val="0059015B"/>
    <w:rsid w:val="00595672"/>
    <w:rsid w:val="005A69CB"/>
    <w:rsid w:val="005E4AD8"/>
    <w:rsid w:val="0062297F"/>
    <w:rsid w:val="00636397"/>
    <w:rsid w:val="0068125B"/>
    <w:rsid w:val="006D2431"/>
    <w:rsid w:val="006E0C22"/>
    <w:rsid w:val="00713EF3"/>
    <w:rsid w:val="00717E4A"/>
    <w:rsid w:val="00730C7B"/>
    <w:rsid w:val="00752839"/>
    <w:rsid w:val="00766A09"/>
    <w:rsid w:val="007B7E9F"/>
    <w:rsid w:val="007C09AC"/>
    <w:rsid w:val="007D6C0B"/>
    <w:rsid w:val="007E4A8B"/>
    <w:rsid w:val="007E65E9"/>
    <w:rsid w:val="007F2BE2"/>
    <w:rsid w:val="007F4128"/>
    <w:rsid w:val="00854AA8"/>
    <w:rsid w:val="008B3DC4"/>
    <w:rsid w:val="008B4688"/>
    <w:rsid w:val="008C08B2"/>
    <w:rsid w:val="00901D43"/>
    <w:rsid w:val="00910B54"/>
    <w:rsid w:val="00915A7E"/>
    <w:rsid w:val="00A266FE"/>
    <w:rsid w:val="00A47DD5"/>
    <w:rsid w:val="00A81D56"/>
    <w:rsid w:val="00AA208A"/>
    <w:rsid w:val="00AA3A29"/>
    <w:rsid w:val="00AB26FC"/>
    <w:rsid w:val="00AB45BC"/>
    <w:rsid w:val="00AE2D5D"/>
    <w:rsid w:val="00B250B4"/>
    <w:rsid w:val="00B2717F"/>
    <w:rsid w:val="00B43880"/>
    <w:rsid w:val="00B62FCA"/>
    <w:rsid w:val="00B87374"/>
    <w:rsid w:val="00BB4A87"/>
    <w:rsid w:val="00BC162E"/>
    <w:rsid w:val="00BF6959"/>
    <w:rsid w:val="00C203E7"/>
    <w:rsid w:val="00C2487D"/>
    <w:rsid w:val="00C84939"/>
    <w:rsid w:val="00CB6B7F"/>
    <w:rsid w:val="00CE082B"/>
    <w:rsid w:val="00CF470C"/>
    <w:rsid w:val="00D115BB"/>
    <w:rsid w:val="00D47D56"/>
    <w:rsid w:val="00D5123D"/>
    <w:rsid w:val="00D61FF6"/>
    <w:rsid w:val="00D95008"/>
    <w:rsid w:val="00DD70E3"/>
    <w:rsid w:val="00DE3CC2"/>
    <w:rsid w:val="00DE6BD5"/>
    <w:rsid w:val="00E3303D"/>
    <w:rsid w:val="00E33985"/>
    <w:rsid w:val="00EA3518"/>
    <w:rsid w:val="00EC7BBF"/>
    <w:rsid w:val="00EF242B"/>
    <w:rsid w:val="00F603F4"/>
    <w:rsid w:val="00F7315E"/>
    <w:rsid w:val="00F750A7"/>
    <w:rsid w:val="00FA2D9B"/>
    <w:rsid w:val="00FB091C"/>
    <w:rsid w:val="00FE1085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2F6A47"/>
  <w15:docId w15:val="{ED414A77-B829-4BD7-AA7A-FB6A9696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54"/>
  </w:style>
  <w:style w:type="paragraph" w:styleId="Footer">
    <w:name w:val="footer"/>
    <w:basedOn w:val="Normal"/>
    <w:link w:val="FooterChar"/>
    <w:uiPriority w:val="99"/>
    <w:unhideWhenUsed/>
    <w:rsid w:val="00910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B54"/>
  </w:style>
  <w:style w:type="table" w:styleId="TableGrid">
    <w:name w:val="Table Grid"/>
    <w:basedOn w:val="TableNormal"/>
    <w:uiPriority w:val="59"/>
    <w:rsid w:val="0002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3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D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4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taff2staff.ad.mmu.ac.uk\Shared\Services\Estates\Environment\A%20NEW%20FILE%20STRUCTURE\5.%20Emissions%20and%20Discharges\Borehole\Annual%20Abstraction%20Retur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staff2staff.ad.mmu.ac.uk\Shared\Services\Estates\Environment\A%20NEW%20FILE%20STRUCTURE\5.%20Emissions%20and%20Discharges\Borehole\Borehole%20Issues%20Log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taff2staff.ad.mmu.ac.uk\Shared\Services\Estates\Environment\A%20NEW%20FILE%20STRUCTURE\5.%20Emissions%20and%20Discharges\Boreho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2492-53FE-41A6-8DC9-D6BB2B87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G01 - Identification of Environmental Aspects and Impacts</vt:lpstr>
    </vt:vector>
  </TitlesOfParts>
  <Company>MMU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G01 - Identification of Environmental Aspects and Impacts</dc:title>
  <dc:subject>Identification of Environmental Aspects and Impacts</dc:subject>
  <dc:creator>Jaime SUllivan</dc:creator>
  <cp:lastModifiedBy>Callum Donnelly</cp:lastModifiedBy>
  <cp:revision>3</cp:revision>
  <cp:lastPrinted>2018-03-08T15:50:00Z</cp:lastPrinted>
  <dcterms:created xsi:type="dcterms:W3CDTF">2021-01-11T16:41:00Z</dcterms:created>
  <dcterms:modified xsi:type="dcterms:W3CDTF">2021-01-11T16:42:00Z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LastSaved">
    <vt:filetime>2013-08-15T00:00:00Z</vt:filetime>
  </property>
</Properties>
</file>