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D3891" w14:textId="3680F9FF" w:rsidR="006E7F07" w:rsidRDefault="006E7F07" w:rsidP="00D21D36">
      <w:pPr>
        <w:jc w:val="center"/>
      </w:pPr>
      <w:r>
        <w:rPr>
          <w:noProof/>
        </w:rPr>
        <w:drawing>
          <wp:inline distT="0" distB="0" distL="0" distR="0" wp14:anchorId="71A919ED" wp14:editId="0B0C32CE">
            <wp:extent cx="1766570" cy="675640"/>
            <wp:effectExtent l="0" t="0" r="5080" b="0"/>
            <wp:docPr id="6" name="Picture 6" descr="Manchester Metropolita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nchester Metropolitan University"/>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6570" cy="675640"/>
                    </a:xfrm>
                    <a:prstGeom prst="rect">
                      <a:avLst/>
                    </a:prstGeom>
                  </pic:spPr>
                </pic:pic>
              </a:graphicData>
            </a:graphic>
          </wp:inline>
        </w:drawing>
      </w:r>
      <w:r w:rsidR="00D21D36">
        <w:rPr>
          <w:noProof/>
          <w:color w:val="FF0000"/>
        </w:rPr>
        <w:t xml:space="preserve"> </w:t>
      </w:r>
      <w:r w:rsidR="00D21D36">
        <w:rPr>
          <w:noProof/>
          <w:color w:val="FF0000"/>
        </w:rPr>
        <w:tab/>
      </w:r>
      <w:r w:rsidR="00D21D36">
        <w:rPr>
          <w:noProof/>
          <w:color w:val="FF0000"/>
        </w:rPr>
        <w:tab/>
      </w:r>
      <w:r w:rsidRPr="003850EE">
        <w:rPr>
          <w:noProof/>
          <w:color w:val="FF0000"/>
        </w:rPr>
        <w:drawing>
          <wp:inline distT="0" distB="0" distL="0" distR="0" wp14:anchorId="4A322C85" wp14:editId="7B3B848B">
            <wp:extent cx="1052195" cy="645795"/>
            <wp:effectExtent l="0" t="0" r="0" b="1905"/>
            <wp:docPr id="1" name="Picture 1" descr="Substance Use and Associated Behaviours Research at Manchester 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bstance Use and Associated Behaviours Research at Manchester M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2195" cy="645795"/>
                    </a:xfrm>
                    <a:prstGeom prst="rect">
                      <a:avLst/>
                    </a:prstGeom>
                    <a:noFill/>
                    <a:ln>
                      <a:noFill/>
                    </a:ln>
                  </pic:spPr>
                </pic:pic>
              </a:graphicData>
            </a:graphic>
          </wp:inline>
        </w:drawing>
      </w:r>
      <w:r w:rsidR="00D21D36">
        <w:rPr>
          <w:noProof/>
          <w:color w:val="FF0000"/>
        </w:rPr>
        <w:tab/>
      </w:r>
      <w:r w:rsidR="00D21D36">
        <w:rPr>
          <w:noProof/>
          <w:color w:val="FF0000"/>
        </w:rPr>
        <w:tab/>
      </w:r>
      <w:r w:rsidRPr="00505794">
        <w:rPr>
          <w:b/>
          <w:bCs/>
          <w:noProof/>
        </w:rPr>
        <w:drawing>
          <wp:inline distT="0" distB="0" distL="0" distR="0" wp14:anchorId="0C2061FD" wp14:editId="0BE552FD">
            <wp:extent cx="1400175" cy="612140"/>
            <wp:effectExtent l="0" t="0" r="9525" b="0"/>
            <wp:docPr id="5" name="Picture 5" descr="Voicebox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Voicebox inc"/>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0175" cy="612140"/>
                    </a:xfrm>
                    <a:prstGeom prst="rect">
                      <a:avLst/>
                    </a:prstGeom>
                  </pic:spPr>
                </pic:pic>
              </a:graphicData>
            </a:graphic>
          </wp:inline>
        </w:drawing>
      </w:r>
    </w:p>
    <w:p w14:paraId="47ABA179" w14:textId="77777777" w:rsidR="006E7F07" w:rsidRDefault="006E7F07" w:rsidP="006E7F07">
      <w:pPr>
        <w:rPr>
          <w:noProof/>
        </w:rPr>
      </w:pPr>
    </w:p>
    <w:p w14:paraId="0C04BC5B" w14:textId="6F287702" w:rsidR="006E7F07" w:rsidRDefault="006E7F07" w:rsidP="006E7F07">
      <w:pPr>
        <w:rPr>
          <w:noProof/>
        </w:rPr>
      </w:pPr>
      <w:r w:rsidRPr="00A71999">
        <w:rPr>
          <w:b/>
          <w:bCs/>
          <w:noProof/>
          <w:sz w:val="28"/>
          <w:szCs w:val="28"/>
        </w:rPr>
        <mc:AlternateContent>
          <mc:Choice Requires="wps">
            <w:drawing>
              <wp:inline distT="0" distB="0" distL="0" distR="0" wp14:anchorId="6BBDC551" wp14:editId="2C88E65E">
                <wp:extent cx="6010275" cy="1773141"/>
                <wp:effectExtent l="0" t="0" r="9525"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773141"/>
                        </a:xfrm>
                        <a:prstGeom prst="rect">
                          <a:avLst/>
                        </a:prstGeom>
                        <a:solidFill>
                          <a:schemeClr val="bg1"/>
                        </a:solidFill>
                        <a:ln>
                          <a:noFill/>
                          <a:headEnd/>
                          <a:tailEnd/>
                        </a:ln>
                      </wps:spPr>
                      <wps:style>
                        <a:lnRef idx="2">
                          <a:schemeClr val="dk1"/>
                        </a:lnRef>
                        <a:fillRef idx="1">
                          <a:schemeClr val="lt1"/>
                        </a:fillRef>
                        <a:effectRef idx="0">
                          <a:schemeClr val="dk1"/>
                        </a:effectRef>
                        <a:fontRef idx="minor">
                          <a:schemeClr val="dk1"/>
                        </a:fontRef>
                      </wps:style>
                      <wps:txbx>
                        <w:txbxContent>
                          <w:p w14:paraId="1B322CDA" w14:textId="2CB87B88" w:rsidR="006E7F07" w:rsidRPr="00C4707E" w:rsidRDefault="006E7F07" w:rsidP="00C4707E">
                            <w:pPr>
                              <w:pStyle w:val="Title"/>
                              <w:jc w:val="center"/>
                              <w:rPr>
                                <w:rFonts w:asciiTheme="minorHAnsi" w:hAnsiTheme="minorHAnsi" w:cstheme="minorHAnsi"/>
                                <w:noProof/>
                                <w:color w:val="BF8F00" w:themeColor="accent4" w:themeShade="BF"/>
                              </w:rPr>
                            </w:pPr>
                            <w:r w:rsidRPr="00C4707E">
                              <w:rPr>
                                <w:rFonts w:asciiTheme="minorHAnsi" w:hAnsiTheme="minorHAnsi" w:cstheme="minorHAnsi"/>
                                <w:noProof/>
                              </w:rPr>
                              <w:t>Will a new approach to end-of-life care for people who use substances improve their access to, and experience of, palliative and end-of-life care?</w:t>
                            </w:r>
                          </w:p>
                          <w:p w14:paraId="73C16B15" w14:textId="41D97B82" w:rsidR="006E7F07" w:rsidRPr="006E7F07" w:rsidRDefault="006E7F07" w:rsidP="00C4707E">
                            <w:pPr>
                              <w:jc w:val="center"/>
                              <w:rPr>
                                <w:b/>
                                <w:bCs/>
                                <w:color w:val="000000" w:themeColor="text1"/>
                                <w:sz w:val="40"/>
                                <w:szCs w:val="40"/>
                              </w:rPr>
                            </w:pPr>
                          </w:p>
                        </w:txbxContent>
                      </wps:txbx>
                      <wps:bodyPr rot="0" vert="horz" wrap="square" lIns="91440" tIns="45720" rIns="91440" bIns="45720" anchor="t" anchorCtr="0">
                        <a:noAutofit/>
                      </wps:bodyPr>
                    </wps:wsp>
                  </a:graphicData>
                </a:graphic>
              </wp:inline>
            </w:drawing>
          </mc:Choice>
          <mc:Fallback>
            <w:pict>
              <v:shapetype w14:anchorId="6BBDC551" id="_x0000_t202" coordsize="21600,21600" o:spt="202" path="m,l,21600r21600,l21600,xe">
                <v:stroke joinstyle="miter"/>
                <v:path gradientshapeok="t" o:connecttype="rect"/>
              </v:shapetype>
              <v:shape id="Text Box 2" o:spid="_x0000_s1026" type="#_x0000_t202" style="width:473.25pt;height:1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" fillcolor="white [3212]" stroked="f" strokeweight="1pt">
                <v:textbox>
                  <w:txbxContent>
                    <w:p w14:paraId="1B322CDA" w14:textId="2CB87B88" w:rsidR="006E7F07" w:rsidRPr="00C4707E" w:rsidRDefault="006E7F07" w:rsidP="00C4707E">
                      <w:pPr>
                        <w:pStyle w:val="Title"/>
                        <w:jc w:val="center"/>
                        <w:rPr>
                          <w:rFonts w:asciiTheme="minorHAnsi" w:hAnsiTheme="minorHAnsi" w:cstheme="minorHAnsi"/>
                          <w:noProof/>
                          <w:color w:val="BF8F00" w:themeColor="accent4" w:themeShade="BF"/>
                        </w:rPr>
                      </w:pPr>
                      <w:r w:rsidRPr="00C4707E">
                        <w:rPr>
                          <w:rFonts w:asciiTheme="minorHAnsi" w:hAnsiTheme="minorHAnsi" w:cstheme="minorHAnsi"/>
                          <w:noProof/>
                        </w:rPr>
                        <w:t>Will a new approach to end-of-life care for people who use substances improve their access to, and experience of, palliative and end-of-life care?</w:t>
                      </w:r>
                    </w:p>
                    <w:p w14:paraId="73C16B15" w14:textId="41D97B82" w:rsidR="006E7F07" w:rsidRPr="006E7F07" w:rsidRDefault="006E7F07" w:rsidP="00C4707E">
                      <w:pPr>
                        <w:jc w:val="center"/>
                        <w:rPr>
                          <w:b/>
                          <w:bCs/>
                          <w:color w:val="000000" w:themeColor="text1"/>
                          <w:sz w:val="40"/>
                          <w:szCs w:val="40"/>
                        </w:rPr>
                      </w:pPr>
                    </w:p>
                  </w:txbxContent>
                </v:textbox>
                <w10:anchorlock/>
              </v:shape>
            </w:pict>
          </mc:Fallback>
        </mc:AlternateContent>
      </w:r>
    </w:p>
    <w:p w14:paraId="37659923" w14:textId="6EC5DA18" w:rsidR="006E7F07" w:rsidRDefault="006E7F07" w:rsidP="006E7F07">
      <w:pPr>
        <w:rPr>
          <w:noProof/>
        </w:rPr>
      </w:pPr>
    </w:p>
    <w:p w14:paraId="4685E6B2" w14:textId="791F2D4A" w:rsidR="006E7F07" w:rsidRPr="00C4707E" w:rsidRDefault="006E7F07" w:rsidP="00C4707E">
      <w:pPr>
        <w:pStyle w:val="Heading1"/>
        <w:jc w:val="center"/>
      </w:pPr>
      <w:r w:rsidRPr="00C4707E">
        <w:t>Executive Summary – February 2023</w:t>
      </w:r>
    </w:p>
    <w:p w14:paraId="28192404" w14:textId="77777777" w:rsidR="006E7F07" w:rsidRPr="00C4707E" w:rsidRDefault="006E7F07" w:rsidP="006E7F07">
      <w:pPr>
        <w:jc w:val="center"/>
        <w:rPr>
          <w:b/>
          <w:bCs/>
          <w:sz w:val="18"/>
          <w:szCs w:val="18"/>
        </w:rPr>
      </w:pPr>
    </w:p>
    <w:p w14:paraId="0BAE99FD" w14:textId="0BC69C7F" w:rsidR="006E7F07" w:rsidRDefault="006E7F07" w:rsidP="006E7F07">
      <w:pPr>
        <w:jc w:val="center"/>
        <w:rPr>
          <w:b/>
          <w:bCs/>
          <w:sz w:val="32"/>
          <w:szCs w:val="32"/>
        </w:rPr>
      </w:pPr>
      <w:r w:rsidRPr="006E7F07">
        <w:rPr>
          <w:noProof/>
          <w:sz w:val="24"/>
          <w:szCs w:val="24"/>
        </w:rPr>
        <w:drawing>
          <wp:inline distT="0" distB="0" distL="0" distR="0" wp14:anchorId="5AE0E222" wp14:editId="77AD7253">
            <wp:extent cx="3779520" cy="2066925"/>
            <wp:effectExtent l="0" t="0" r="0" b="952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9520" cy="2066925"/>
                    </a:xfrm>
                    <a:prstGeom prst="rect">
                      <a:avLst/>
                    </a:prstGeom>
                    <a:noFill/>
                    <a:ln>
                      <a:noFill/>
                    </a:ln>
                  </pic:spPr>
                </pic:pic>
              </a:graphicData>
            </a:graphic>
          </wp:inline>
        </w:drawing>
      </w:r>
    </w:p>
    <w:p w14:paraId="091D9538" w14:textId="77777777" w:rsidR="006E7F07" w:rsidRDefault="006E7F07" w:rsidP="006E7F07">
      <w:pPr>
        <w:spacing w:after="0" w:line="240" w:lineRule="auto"/>
        <w:jc w:val="center"/>
        <w:rPr>
          <w:color w:val="538135" w:themeColor="accent6" w:themeShade="BF"/>
          <w:sz w:val="28"/>
          <w:szCs w:val="28"/>
        </w:rPr>
      </w:pPr>
      <w:r w:rsidRPr="008D7AEC">
        <w:rPr>
          <w:b/>
          <w:bCs/>
          <w:sz w:val="28"/>
          <w:szCs w:val="28"/>
        </w:rPr>
        <w:t>Authors:</w:t>
      </w:r>
      <w:r w:rsidRPr="008D7AEC">
        <w:rPr>
          <w:color w:val="538135" w:themeColor="accent6" w:themeShade="BF"/>
          <w:sz w:val="28"/>
          <w:szCs w:val="28"/>
        </w:rPr>
        <w:t xml:space="preserve"> </w:t>
      </w:r>
    </w:p>
    <w:p w14:paraId="108A8349" w14:textId="77777777" w:rsidR="006E7F07" w:rsidRPr="00C4707E" w:rsidRDefault="006E7F07" w:rsidP="006E7F07">
      <w:pPr>
        <w:spacing w:after="0" w:line="240" w:lineRule="auto"/>
        <w:jc w:val="center"/>
        <w:rPr>
          <w:color w:val="000000" w:themeColor="text1"/>
          <w:sz w:val="28"/>
          <w:szCs w:val="28"/>
        </w:rPr>
      </w:pPr>
      <w:r w:rsidRPr="00C4707E">
        <w:rPr>
          <w:color w:val="000000" w:themeColor="text1"/>
          <w:sz w:val="28"/>
          <w:szCs w:val="28"/>
        </w:rPr>
        <w:t xml:space="preserve">Sarah Galvani, Sam Wright, Amanda Clayson, Lucy Webb, Gary Witham, </w:t>
      </w:r>
    </w:p>
    <w:p w14:paraId="4CB74382" w14:textId="79855A86" w:rsidR="006E7F07" w:rsidRPr="00C4707E" w:rsidRDefault="006E7F07" w:rsidP="00C4707E">
      <w:pPr>
        <w:spacing w:after="0" w:line="240" w:lineRule="auto"/>
        <w:jc w:val="center"/>
        <w:rPr>
          <w:color w:val="000000" w:themeColor="text1"/>
          <w:sz w:val="28"/>
          <w:szCs w:val="28"/>
        </w:rPr>
      </w:pPr>
      <w:r w:rsidRPr="00C4707E">
        <w:rPr>
          <w:color w:val="000000" w:themeColor="text1"/>
          <w:sz w:val="28"/>
          <w:szCs w:val="28"/>
        </w:rPr>
        <w:t>Gemma Yarwood</w:t>
      </w:r>
    </w:p>
    <w:p w14:paraId="49A40461" w14:textId="27EC507B" w:rsidR="006E7F07" w:rsidRDefault="006E7F07" w:rsidP="006E7F07">
      <w:pPr>
        <w:pStyle w:val="NormalWeb"/>
        <w:spacing w:before="0" w:beforeAutospacing="0" w:after="0" w:afterAutospacing="0"/>
        <w:rPr>
          <w:rFonts w:ascii="Calibri" w:hAnsi="Calibri" w:cs="Calibri"/>
          <w:sz w:val="20"/>
          <w:szCs w:val="20"/>
        </w:rPr>
      </w:pPr>
    </w:p>
    <w:p w14:paraId="323C8D57" w14:textId="068C03E5" w:rsidR="006E7F07" w:rsidRDefault="006E7F07" w:rsidP="006E7F07">
      <w:pPr>
        <w:pStyle w:val="NormalWeb"/>
        <w:spacing w:before="0" w:beforeAutospacing="0" w:after="0" w:afterAutospacing="0"/>
        <w:rPr>
          <w:rFonts w:ascii="Calibri" w:hAnsi="Calibri" w:cs="Calibri"/>
          <w:sz w:val="20"/>
          <w:szCs w:val="20"/>
        </w:rPr>
      </w:pPr>
    </w:p>
    <w:p w14:paraId="202F1D61" w14:textId="34594112" w:rsidR="006E7F07" w:rsidRDefault="00125245" w:rsidP="00D21D36">
      <w:pPr>
        <w:pStyle w:val="NormalWeb"/>
        <w:spacing w:before="0" w:beforeAutospacing="0" w:after="0" w:afterAutospacing="0"/>
        <w:jc w:val="center"/>
        <w:rPr>
          <w:rFonts w:ascii="Calibri" w:hAnsi="Calibri" w:cs="Calibri"/>
          <w:sz w:val="20"/>
          <w:szCs w:val="20"/>
        </w:rPr>
      </w:pPr>
      <w:r w:rsidRPr="00505794">
        <w:rPr>
          <w:b/>
          <w:bCs/>
          <w:noProof/>
          <w:sz w:val="22"/>
          <w:szCs w:val="22"/>
        </w:rPr>
        <w:drawing>
          <wp:inline distT="0" distB="0" distL="0" distR="0" wp14:anchorId="56A58364" wp14:editId="0D512C3B">
            <wp:extent cx="1532255" cy="762635"/>
            <wp:effectExtent l="0" t="0" r="0" b="0"/>
            <wp:docPr id="7" name="Picture 7" descr="Mersey Care NHS Found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ersey Care NHS Foundation Tru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2255" cy="762635"/>
                    </a:xfrm>
                    <a:prstGeom prst="rect">
                      <a:avLst/>
                    </a:prstGeom>
                    <a:noFill/>
                    <a:ln>
                      <a:noFill/>
                    </a:ln>
                  </pic:spPr>
                </pic:pic>
              </a:graphicData>
            </a:graphic>
          </wp:inline>
        </w:drawing>
      </w:r>
      <w:r w:rsidR="00D21D36">
        <w:rPr>
          <w:rFonts w:ascii="Calibri" w:hAnsi="Calibri" w:cs="Calibri"/>
          <w:sz w:val="20"/>
          <w:szCs w:val="20"/>
        </w:rPr>
        <w:t xml:space="preserve"> </w:t>
      </w:r>
      <w:r w:rsidR="00D21D36">
        <w:rPr>
          <w:rFonts w:ascii="Calibri" w:hAnsi="Calibri" w:cs="Calibri"/>
          <w:sz w:val="20"/>
          <w:szCs w:val="20"/>
        </w:rPr>
        <w:tab/>
      </w:r>
      <w:r w:rsidR="00D21D36">
        <w:rPr>
          <w:rFonts w:ascii="Calibri" w:hAnsi="Calibri" w:cs="Calibri"/>
          <w:sz w:val="20"/>
          <w:szCs w:val="20"/>
        </w:rPr>
        <w:tab/>
      </w:r>
      <w:r w:rsidR="00D21D36">
        <w:rPr>
          <w:rFonts w:ascii="Calibri" w:hAnsi="Calibri" w:cs="Calibri"/>
          <w:sz w:val="20"/>
          <w:szCs w:val="20"/>
        </w:rPr>
        <w:tab/>
      </w:r>
      <w:r w:rsidRPr="00505794">
        <w:rPr>
          <w:rFonts w:ascii="Calibri" w:hAnsi="Calibri" w:cs="Calibri"/>
          <w:b/>
          <w:bCs/>
          <w:noProof/>
          <w:sz w:val="22"/>
          <w:szCs w:val="22"/>
        </w:rPr>
        <w:drawing>
          <wp:inline distT="0" distB="0" distL="0" distR="0" wp14:anchorId="1A3E21FC" wp14:editId="12ADA336">
            <wp:extent cx="2286635" cy="476885"/>
            <wp:effectExtent l="0" t="0" r="0" b="0"/>
            <wp:docPr id="3" name="Picture 3" descr="National Institute for Health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tional Institute for Health Research"/>
                    <pic:cNvPicPr/>
                  </pic:nvPicPr>
                  <pic:blipFill>
                    <a:blip r:embed="rId13">
                      <a:extLst>
                        <a:ext uri="{28A0092B-C50C-407E-A947-70E740481C1C}">
                          <a14:useLocalDpi xmlns:a14="http://schemas.microsoft.com/office/drawing/2010/main" val="0"/>
                        </a:ext>
                      </a:extLst>
                    </a:blip>
                    <a:stretch>
                      <a:fillRect/>
                    </a:stretch>
                  </pic:blipFill>
                  <pic:spPr>
                    <a:xfrm>
                      <a:off x="0" y="0"/>
                      <a:ext cx="2304167" cy="480702"/>
                    </a:xfrm>
                    <a:prstGeom prst="rect">
                      <a:avLst/>
                    </a:prstGeom>
                  </pic:spPr>
                </pic:pic>
              </a:graphicData>
            </a:graphic>
          </wp:inline>
        </w:drawing>
      </w:r>
    </w:p>
    <w:p w14:paraId="30056786" w14:textId="111A2710" w:rsidR="006E7F07" w:rsidRDefault="006E7F07" w:rsidP="006E7F07">
      <w:pPr>
        <w:pStyle w:val="NormalWeb"/>
        <w:spacing w:before="0" w:beforeAutospacing="0" w:after="0" w:afterAutospacing="0"/>
        <w:rPr>
          <w:rFonts w:ascii="Calibri" w:hAnsi="Calibri" w:cs="Calibri"/>
          <w:sz w:val="20"/>
          <w:szCs w:val="20"/>
        </w:rPr>
      </w:pPr>
    </w:p>
    <w:p w14:paraId="7D0C299E" w14:textId="29DBB5CC" w:rsidR="00C4707E" w:rsidRDefault="006E7F07" w:rsidP="006E7F07">
      <w:pPr>
        <w:pStyle w:val="NormalWeb"/>
        <w:spacing w:before="0" w:beforeAutospacing="0" w:after="0" w:afterAutospacing="0"/>
        <w:rPr>
          <w:rFonts w:asciiTheme="minorHAnsi" w:hAnsiTheme="minorHAnsi" w:cstheme="minorHAnsi"/>
          <w:sz w:val="22"/>
          <w:szCs w:val="22"/>
        </w:rPr>
      </w:pPr>
      <w:r w:rsidRPr="006E7F07">
        <w:rPr>
          <w:rFonts w:asciiTheme="minorHAnsi" w:hAnsiTheme="minorHAnsi" w:cstheme="minorHAnsi"/>
          <w:sz w:val="22"/>
          <w:szCs w:val="22"/>
        </w:rPr>
        <w:t>This project is funded by the National Institute for Health and Care Research (NIHR) under its Research for Patient Benefit (</w:t>
      </w:r>
      <w:proofErr w:type="spellStart"/>
      <w:r w:rsidRPr="006E7F07">
        <w:rPr>
          <w:rFonts w:asciiTheme="minorHAnsi" w:hAnsiTheme="minorHAnsi" w:cstheme="minorHAnsi"/>
          <w:sz w:val="22"/>
          <w:szCs w:val="22"/>
        </w:rPr>
        <w:t>RfPB</w:t>
      </w:r>
      <w:proofErr w:type="spellEnd"/>
      <w:r w:rsidRPr="006E7F07">
        <w:rPr>
          <w:rFonts w:asciiTheme="minorHAnsi" w:hAnsiTheme="minorHAnsi" w:cstheme="minorHAnsi"/>
          <w:sz w:val="22"/>
          <w:szCs w:val="22"/>
        </w:rPr>
        <w:t>) Programme (Grant Reference Number NIHR200054). The views expressed are those of the author(s) and not necessarily those of the NIHR or the Department of Health and Social Care.</w:t>
      </w:r>
    </w:p>
    <w:p w14:paraId="6CDA2BF9" w14:textId="77777777" w:rsidR="00C4707E" w:rsidRDefault="00C4707E">
      <w:pPr>
        <w:rPr>
          <w:rFonts w:eastAsiaTheme="minorEastAsia" w:cstheme="minorHAnsi"/>
          <w:lang w:eastAsia="en-GB"/>
        </w:rPr>
      </w:pPr>
      <w:r>
        <w:rPr>
          <w:rFonts w:cstheme="minorHAnsi"/>
        </w:rPr>
        <w:br w:type="page"/>
      </w:r>
    </w:p>
    <w:p w14:paraId="3BF60ABF" w14:textId="40EE6A74" w:rsidR="00901C97" w:rsidRPr="00C4707E" w:rsidRDefault="00694376" w:rsidP="00C4707E">
      <w:pPr>
        <w:pStyle w:val="Heading2"/>
        <w:rPr>
          <w:b/>
          <w:bCs/>
          <w:color w:val="000000" w:themeColor="text1"/>
          <w:sz w:val="28"/>
          <w:szCs w:val="28"/>
        </w:rPr>
      </w:pPr>
      <w:r w:rsidRPr="00C4707E">
        <w:rPr>
          <w:b/>
          <w:bCs/>
          <w:color w:val="000000" w:themeColor="text1"/>
          <w:sz w:val="28"/>
          <w:szCs w:val="28"/>
        </w:rPr>
        <w:lastRenderedPageBreak/>
        <w:t>Executive Summary</w:t>
      </w:r>
    </w:p>
    <w:p w14:paraId="732F6710" w14:textId="77777777" w:rsidR="005A3825" w:rsidRDefault="005A3825" w:rsidP="000E31D2">
      <w:pPr>
        <w:spacing w:after="0" w:line="240" w:lineRule="auto"/>
        <w:rPr>
          <w:rFonts w:cstheme="minorHAnsi"/>
          <w:sz w:val="24"/>
          <w:szCs w:val="24"/>
        </w:rPr>
      </w:pPr>
    </w:p>
    <w:p w14:paraId="747354C4" w14:textId="2927B3F4" w:rsidR="00901C97" w:rsidRDefault="00901C97" w:rsidP="000E31D2">
      <w:pPr>
        <w:spacing w:after="0" w:line="240" w:lineRule="auto"/>
        <w:rPr>
          <w:rFonts w:cstheme="minorHAnsi"/>
          <w:sz w:val="24"/>
          <w:szCs w:val="24"/>
        </w:rPr>
      </w:pPr>
      <w:r w:rsidRPr="00C95B42">
        <w:rPr>
          <w:rFonts w:cstheme="minorHAnsi"/>
          <w:sz w:val="24"/>
          <w:szCs w:val="24"/>
        </w:rPr>
        <w:t>This research</w:t>
      </w:r>
      <w:r w:rsidR="008838D6">
        <w:rPr>
          <w:rFonts w:cstheme="minorHAnsi"/>
          <w:sz w:val="24"/>
          <w:szCs w:val="24"/>
        </w:rPr>
        <w:t>,</w:t>
      </w:r>
      <w:r w:rsidRPr="00C95B42">
        <w:rPr>
          <w:rFonts w:cstheme="minorHAnsi"/>
          <w:sz w:val="24"/>
          <w:szCs w:val="24"/>
        </w:rPr>
        <w:t xml:space="preserve"> funded by the National Institute for Health Research (NIHR)</w:t>
      </w:r>
      <w:r w:rsidR="008838D6">
        <w:rPr>
          <w:rFonts w:cstheme="minorHAnsi"/>
          <w:sz w:val="24"/>
          <w:szCs w:val="24"/>
        </w:rPr>
        <w:t xml:space="preserve">, </w:t>
      </w:r>
      <w:r w:rsidR="007F5DFD">
        <w:rPr>
          <w:rFonts w:cstheme="minorHAnsi"/>
          <w:sz w:val="24"/>
          <w:szCs w:val="24"/>
        </w:rPr>
        <w:t xml:space="preserve">took place from </w:t>
      </w:r>
      <w:r w:rsidRPr="00C95B42">
        <w:rPr>
          <w:rFonts w:cstheme="minorHAnsi"/>
          <w:sz w:val="24"/>
          <w:szCs w:val="24"/>
        </w:rPr>
        <w:t>October 2019</w:t>
      </w:r>
      <w:r w:rsidR="00942310">
        <w:rPr>
          <w:rFonts w:cstheme="minorHAnsi"/>
          <w:sz w:val="24"/>
          <w:szCs w:val="24"/>
        </w:rPr>
        <w:t xml:space="preserve"> </w:t>
      </w:r>
      <w:r w:rsidR="007F5DFD">
        <w:rPr>
          <w:rFonts w:cstheme="minorHAnsi"/>
          <w:sz w:val="24"/>
          <w:szCs w:val="24"/>
        </w:rPr>
        <w:t xml:space="preserve">to </w:t>
      </w:r>
      <w:r w:rsidRPr="00C95B42">
        <w:rPr>
          <w:rFonts w:cstheme="minorHAnsi"/>
          <w:sz w:val="24"/>
          <w:szCs w:val="24"/>
        </w:rPr>
        <w:t xml:space="preserve">March </w:t>
      </w:r>
      <w:r w:rsidR="009001B1" w:rsidRPr="00C95B42">
        <w:rPr>
          <w:rFonts w:cstheme="minorHAnsi"/>
          <w:sz w:val="24"/>
          <w:szCs w:val="24"/>
        </w:rPr>
        <w:t>202</w:t>
      </w:r>
      <w:r w:rsidR="009001B1">
        <w:rPr>
          <w:rFonts w:cstheme="minorHAnsi"/>
          <w:sz w:val="24"/>
          <w:szCs w:val="24"/>
        </w:rPr>
        <w:t>3</w:t>
      </w:r>
      <w:r>
        <w:rPr>
          <w:rStyle w:val="FootnoteReference"/>
          <w:rFonts w:cstheme="minorHAnsi"/>
          <w:sz w:val="24"/>
          <w:szCs w:val="24"/>
        </w:rPr>
        <w:footnoteReference w:id="1"/>
      </w:r>
      <w:r w:rsidRPr="00C95B42">
        <w:rPr>
          <w:rFonts w:cstheme="minorHAnsi"/>
          <w:sz w:val="24"/>
          <w:szCs w:val="24"/>
        </w:rPr>
        <w:t xml:space="preserve">. </w:t>
      </w:r>
      <w:r w:rsidR="00642A2C" w:rsidRPr="00C95B42">
        <w:rPr>
          <w:rFonts w:cstheme="minorHAnsi"/>
          <w:sz w:val="24"/>
          <w:szCs w:val="24"/>
        </w:rPr>
        <w:t xml:space="preserve">The </w:t>
      </w:r>
      <w:r w:rsidR="00642A2C">
        <w:rPr>
          <w:rFonts w:cstheme="minorHAnsi"/>
          <w:sz w:val="24"/>
          <w:szCs w:val="24"/>
        </w:rPr>
        <w:t xml:space="preserve">research </w:t>
      </w:r>
      <w:proofErr w:type="gramStart"/>
      <w:r w:rsidR="00642A2C">
        <w:rPr>
          <w:rFonts w:cstheme="minorHAnsi"/>
          <w:sz w:val="24"/>
          <w:szCs w:val="24"/>
        </w:rPr>
        <w:t xml:space="preserve">was </w:t>
      </w:r>
      <w:r w:rsidR="00642A2C" w:rsidRPr="00C95B42">
        <w:rPr>
          <w:rFonts w:cstheme="minorHAnsi"/>
          <w:sz w:val="24"/>
          <w:szCs w:val="24"/>
        </w:rPr>
        <w:t>locat</w:t>
      </w:r>
      <w:r w:rsidR="00642A2C">
        <w:rPr>
          <w:rFonts w:cstheme="minorHAnsi"/>
          <w:sz w:val="24"/>
          <w:szCs w:val="24"/>
        </w:rPr>
        <w:t>ed in</w:t>
      </w:r>
      <w:proofErr w:type="gramEnd"/>
      <w:r w:rsidR="00642A2C">
        <w:rPr>
          <w:rFonts w:cstheme="minorHAnsi"/>
          <w:sz w:val="24"/>
          <w:szCs w:val="24"/>
        </w:rPr>
        <w:t xml:space="preserve"> </w:t>
      </w:r>
      <w:r w:rsidR="00642A2C" w:rsidRPr="00C95B42">
        <w:rPr>
          <w:rFonts w:cstheme="minorHAnsi"/>
          <w:sz w:val="24"/>
          <w:szCs w:val="24"/>
        </w:rPr>
        <w:t>the City of Liverpool</w:t>
      </w:r>
      <w:r w:rsidR="009001B1">
        <w:rPr>
          <w:rFonts w:cstheme="minorHAnsi"/>
          <w:sz w:val="24"/>
          <w:szCs w:val="24"/>
        </w:rPr>
        <w:t xml:space="preserve"> and </w:t>
      </w:r>
      <w:r w:rsidR="00694376">
        <w:rPr>
          <w:rFonts w:cstheme="minorHAnsi"/>
          <w:sz w:val="24"/>
          <w:szCs w:val="24"/>
        </w:rPr>
        <w:t xml:space="preserve">the </w:t>
      </w:r>
      <w:r w:rsidR="009001B1">
        <w:rPr>
          <w:rFonts w:cstheme="minorHAnsi"/>
          <w:sz w:val="24"/>
          <w:szCs w:val="24"/>
        </w:rPr>
        <w:t>Borough of Sefton</w:t>
      </w:r>
      <w:r w:rsidR="00642A2C" w:rsidRPr="00C95B42">
        <w:rPr>
          <w:rFonts w:cstheme="minorHAnsi"/>
          <w:sz w:val="24"/>
          <w:szCs w:val="24"/>
        </w:rPr>
        <w:t xml:space="preserve"> in the North-West of England</w:t>
      </w:r>
      <w:r w:rsidR="00A53F5C">
        <w:rPr>
          <w:rFonts w:cstheme="minorHAnsi"/>
          <w:sz w:val="24"/>
          <w:szCs w:val="24"/>
        </w:rPr>
        <w:t>. Liverpool</w:t>
      </w:r>
      <w:r w:rsidR="00642A2C">
        <w:rPr>
          <w:rFonts w:cstheme="minorHAnsi"/>
          <w:sz w:val="24"/>
          <w:szCs w:val="24"/>
        </w:rPr>
        <w:t xml:space="preserve"> has one of </w:t>
      </w:r>
      <w:r w:rsidR="00642A2C" w:rsidRPr="00C95B42">
        <w:rPr>
          <w:rFonts w:cstheme="minorHAnsi"/>
          <w:sz w:val="24"/>
          <w:szCs w:val="24"/>
        </w:rPr>
        <w:t>the</w:t>
      </w:r>
      <w:r w:rsidR="00642A2C" w:rsidRPr="00C95B42">
        <w:rPr>
          <w:rFonts w:cstheme="minorHAnsi"/>
          <w:spacing w:val="-4"/>
          <w:sz w:val="24"/>
          <w:szCs w:val="24"/>
        </w:rPr>
        <w:t xml:space="preserve"> </w:t>
      </w:r>
      <w:r w:rsidR="00642A2C" w:rsidRPr="00C95B42">
        <w:rPr>
          <w:rFonts w:cstheme="minorHAnsi"/>
          <w:sz w:val="24"/>
          <w:szCs w:val="24"/>
        </w:rPr>
        <w:t>highest</w:t>
      </w:r>
      <w:r w:rsidR="00642A2C" w:rsidRPr="00C95B42">
        <w:rPr>
          <w:rFonts w:cstheme="minorHAnsi"/>
          <w:spacing w:val="-4"/>
          <w:sz w:val="24"/>
          <w:szCs w:val="24"/>
        </w:rPr>
        <w:t xml:space="preserve"> </w:t>
      </w:r>
      <w:r w:rsidR="00642A2C" w:rsidRPr="00C95B42">
        <w:rPr>
          <w:rFonts w:cstheme="minorHAnsi"/>
          <w:sz w:val="24"/>
          <w:szCs w:val="24"/>
        </w:rPr>
        <w:t>rate</w:t>
      </w:r>
      <w:r w:rsidR="00642A2C">
        <w:rPr>
          <w:rFonts w:cstheme="minorHAnsi"/>
          <w:sz w:val="24"/>
          <w:szCs w:val="24"/>
        </w:rPr>
        <w:t>s</w:t>
      </w:r>
      <w:r w:rsidR="00642A2C" w:rsidRPr="00C95B42">
        <w:rPr>
          <w:rFonts w:cstheme="minorHAnsi"/>
          <w:spacing w:val="-5"/>
          <w:sz w:val="24"/>
          <w:szCs w:val="24"/>
        </w:rPr>
        <w:t xml:space="preserve"> </w:t>
      </w:r>
      <w:r w:rsidR="00642A2C" w:rsidRPr="00C95B42">
        <w:rPr>
          <w:rFonts w:cstheme="minorHAnsi"/>
          <w:sz w:val="24"/>
          <w:szCs w:val="24"/>
        </w:rPr>
        <w:t>of</w:t>
      </w:r>
      <w:r w:rsidR="00642A2C" w:rsidRPr="00C95B42">
        <w:rPr>
          <w:rFonts w:cstheme="minorHAnsi"/>
          <w:spacing w:val="-4"/>
          <w:sz w:val="24"/>
          <w:szCs w:val="24"/>
        </w:rPr>
        <w:t xml:space="preserve"> </w:t>
      </w:r>
      <w:r w:rsidR="00642A2C" w:rsidRPr="00C95B42">
        <w:rPr>
          <w:rFonts w:cstheme="minorHAnsi"/>
          <w:sz w:val="24"/>
          <w:szCs w:val="24"/>
        </w:rPr>
        <w:t>alcohol-related</w:t>
      </w:r>
      <w:r w:rsidR="00642A2C" w:rsidRPr="00C95B42">
        <w:rPr>
          <w:rFonts w:cstheme="minorHAnsi"/>
          <w:spacing w:val="-4"/>
          <w:sz w:val="24"/>
          <w:szCs w:val="24"/>
        </w:rPr>
        <w:t xml:space="preserve"> </w:t>
      </w:r>
      <w:r w:rsidR="00642A2C" w:rsidRPr="00C95B42">
        <w:rPr>
          <w:rFonts w:cstheme="minorHAnsi"/>
          <w:sz w:val="24"/>
          <w:szCs w:val="24"/>
        </w:rPr>
        <w:t>mortality</w:t>
      </w:r>
      <w:r w:rsidR="00642A2C" w:rsidRPr="00C95B42">
        <w:rPr>
          <w:rFonts w:cstheme="minorHAnsi"/>
          <w:spacing w:val="-5"/>
          <w:sz w:val="24"/>
          <w:szCs w:val="24"/>
        </w:rPr>
        <w:t xml:space="preserve"> </w:t>
      </w:r>
      <w:r w:rsidR="00642A2C">
        <w:rPr>
          <w:rFonts w:cstheme="minorHAnsi"/>
          <w:sz w:val="24"/>
          <w:szCs w:val="24"/>
        </w:rPr>
        <w:t>and</w:t>
      </w:r>
      <w:r w:rsidR="00642A2C" w:rsidRPr="00C95B42">
        <w:rPr>
          <w:rFonts w:cstheme="minorHAnsi"/>
          <w:spacing w:val="-3"/>
          <w:sz w:val="24"/>
          <w:szCs w:val="24"/>
        </w:rPr>
        <w:t xml:space="preserve"> </w:t>
      </w:r>
      <w:r w:rsidR="00642A2C" w:rsidRPr="00C95B42">
        <w:rPr>
          <w:rFonts w:cstheme="minorHAnsi"/>
          <w:sz w:val="24"/>
          <w:szCs w:val="24"/>
        </w:rPr>
        <w:t>drug-related</w:t>
      </w:r>
      <w:r w:rsidR="00642A2C" w:rsidRPr="00C95B42">
        <w:rPr>
          <w:rFonts w:cstheme="minorHAnsi"/>
          <w:spacing w:val="-3"/>
          <w:sz w:val="24"/>
          <w:szCs w:val="24"/>
        </w:rPr>
        <w:t xml:space="preserve"> </w:t>
      </w:r>
      <w:r w:rsidR="00642A2C" w:rsidRPr="00C95B42">
        <w:rPr>
          <w:rFonts w:cstheme="minorHAnsi"/>
          <w:sz w:val="24"/>
          <w:szCs w:val="24"/>
        </w:rPr>
        <w:t>harm</w:t>
      </w:r>
      <w:r w:rsidR="00642A2C">
        <w:rPr>
          <w:rFonts w:cstheme="minorHAnsi"/>
          <w:sz w:val="24"/>
          <w:szCs w:val="24"/>
        </w:rPr>
        <w:t xml:space="preserve"> in the country</w:t>
      </w:r>
      <w:r w:rsidR="00642A2C" w:rsidRPr="00C95B42">
        <w:rPr>
          <w:rFonts w:cstheme="minorHAnsi"/>
          <w:sz w:val="24"/>
          <w:szCs w:val="24"/>
        </w:rPr>
        <w:t xml:space="preserve">. </w:t>
      </w:r>
      <w:r w:rsidRPr="00C95B42">
        <w:rPr>
          <w:rFonts w:cstheme="minorHAnsi"/>
          <w:sz w:val="24"/>
          <w:szCs w:val="24"/>
        </w:rPr>
        <w:t>Inspired by earlier research that revealed the dearth of policy</w:t>
      </w:r>
      <w:r w:rsidR="00A53F5C">
        <w:rPr>
          <w:rFonts w:cstheme="minorHAnsi"/>
          <w:sz w:val="24"/>
          <w:szCs w:val="24"/>
        </w:rPr>
        <w:t xml:space="preserve"> and </w:t>
      </w:r>
      <w:r w:rsidRPr="00C95B42">
        <w:rPr>
          <w:rFonts w:cstheme="minorHAnsi"/>
          <w:sz w:val="24"/>
          <w:szCs w:val="24"/>
        </w:rPr>
        <w:t xml:space="preserve">practice on providing care and dignity at end of life </w:t>
      </w:r>
      <w:r w:rsidR="00C62197">
        <w:rPr>
          <w:rFonts w:cstheme="minorHAnsi"/>
          <w:sz w:val="24"/>
          <w:szCs w:val="24"/>
        </w:rPr>
        <w:t xml:space="preserve">for </w:t>
      </w:r>
      <w:r w:rsidR="00C62197" w:rsidRPr="00C95B42">
        <w:rPr>
          <w:rFonts w:cstheme="minorHAnsi"/>
          <w:sz w:val="24"/>
          <w:szCs w:val="24"/>
        </w:rPr>
        <w:t xml:space="preserve">people using substances </w:t>
      </w:r>
      <w:r w:rsidRPr="00C95B42">
        <w:rPr>
          <w:rFonts w:cstheme="minorHAnsi"/>
          <w:sz w:val="24"/>
          <w:szCs w:val="24"/>
        </w:rPr>
        <w:t xml:space="preserve">(Galvani, 2018), </w:t>
      </w:r>
      <w:r w:rsidR="007F5DFD">
        <w:rPr>
          <w:rFonts w:cstheme="minorHAnsi"/>
          <w:sz w:val="24"/>
          <w:szCs w:val="24"/>
        </w:rPr>
        <w:t>it</w:t>
      </w:r>
      <w:r w:rsidRPr="00C95B42">
        <w:rPr>
          <w:rFonts w:cstheme="minorHAnsi"/>
          <w:sz w:val="24"/>
          <w:szCs w:val="24"/>
        </w:rPr>
        <w:t xml:space="preserve"> set out to answer two primary research questions:</w:t>
      </w:r>
    </w:p>
    <w:p w14:paraId="552C9BE3" w14:textId="77777777" w:rsidR="000E31D2" w:rsidRPr="00C95B42" w:rsidRDefault="000E31D2" w:rsidP="000E31D2">
      <w:pPr>
        <w:spacing w:after="0" w:line="240" w:lineRule="auto"/>
        <w:rPr>
          <w:rFonts w:cstheme="minorHAnsi"/>
          <w:sz w:val="24"/>
          <w:szCs w:val="24"/>
        </w:rPr>
      </w:pPr>
    </w:p>
    <w:p w14:paraId="0787D09A" w14:textId="77777777" w:rsidR="00901C97" w:rsidRPr="00C95B42" w:rsidRDefault="00901C97" w:rsidP="000E31D2">
      <w:pPr>
        <w:pStyle w:val="ListParagraph"/>
        <w:numPr>
          <w:ilvl w:val="0"/>
          <w:numId w:val="3"/>
        </w:numPr>
        <w:rPr>
          <w:rFonts w:asciiTheme="minorHAnsi" w:hAnsiTheme="minorHAnsi" w:cstheme="minorHAnsi"/>
        </w:rPr>
      </w:pPr>
      <w:r w:rsidRPr="00C95B42">
        <w:rPr>
          <w:rFonts w:asciiTheme="minorHAnsi" w:hAnsiTheme="minorHAnsi" w:cstheme="minorHAnsi"/>
        </w:rPr>
        <w:t xml:space="preserve">What should a new, co-produced, model of care </w:t>
      </w:r>
      <w:proofErr w:type="gramStart"/>
      <w:r w:rsidRPr="00C95B42">
        <w:rPr>
          <w:rFonts w:asciiTheme="minorHAnsi" w:hAnsiTheme="minorHAnsi" w:cstheme="minorHAnsi"/>
        </w:rPr>
        <w:t>look</w:t>
      </w:r>
      <w:proofErr w:type="gramEnd"/>
      <w:r w:rsidRPr="00C95B42">
        <w:rPr>
          <w:rFonts w:asciiTheme="minorHAnsi" w:hAnsiTheme="minorHAnsi" w:cstheme="minorHAnsi"/>
        </w:rPr>
        <w:t xml:space="preserve"> like for people using substances needing palliative and end-of-life care? </w:t>
      </w:r>
    </w:p>
    <w:p w14:paraId="005A5EEB" w14:textId="77777777" w:rsidR="00901C97" w:rsidRPr="00213A9F" w:rsidRDefault="00901C97" w:rsidP="000E31D2">
      <w:pPr>
        <w:pStyle w:val="ListParagraph"/>
        <w:numPr>
          <w:ilvl w:val="0"/>
          <w:numId w:val="3"/>
        </w:numPr>
        <w:rPr>
          <w:rFonts w:asciiTheme="minorHAnsi" w:hAnsiTheme="minorHAnsi" w:cstheme="minorHAnsi"/>
        </w:rPr>
      </w:pPr>
      <w:r>
        <w:rPr>
          <w:rFonts w:asciiTheme="minorHAnsi" w:hAnsiTheme="minorHAnsi" w:cstheme="minorHAnsi"/>
        </w:rPr>
        <w:t>D</w:t>
      </w:r>
      <w:r w:rsidRPr="00C95B42">
        <w:rPr>
          <w:rFonts w:asciiTheme="minorHAnsi" w:hAnsiTheme="minorHAnsi" w:cstheme="minorHAnsi"/>
        </w:rPr>
        <w:t>oes the new model have the potential to improve people’s access to, and experience of, end-of-life care?</w:t>
      </w:r>
    </w:p>
    <w:p w14:paraId="072E90F0" w14:textId="2E83EB91" w:rsidR="000E31D2" w:rsidRDefault="000E31D2" w:rsidP="000E31D2">
      <w:pPr>
        <w:spacing w:after="0" w:line="240" w:lineRule="auto"/>
        <w:rPr>
          <w:rFonts w:cstheme="minorHAnsi"/>
          <w:b/>
          <w:bCs/>
          <w:sz w:val="24"/>
          <w:szCs w:val="24"/>
        </w:rPr>
      </w:pPr>
    </w:p>
    <w:p w14:paraId="15F0F684" w14:textId="77777777" w:rsidR="00C4707E" w:rsidRDefault="00C4707E" w:rsidP="000E31D2">
      <w:pPr>
        <w:spacing w:after="0" w:line="240" w:lineRule="auto"/>
        <w:rPr>
          <w:rFonts w:cstheme="minorHAnsi"/>
          <w:b/>
          <w:bCs/>
          <w:sz w:val="24"/>
          <w:szCs w:val="24"/>
        </w:rPr>
      </w:pPr>
    </w:p>
    <w:p w14:paraId="4980ADFB" w14:textId="0911B3E2" w:rsidR="00901C97" w:rsidRPr="00C4707E" w:rsidRDefault="00901C97" w:rsidP="00C4707E">
      <w:pPr>
        <w:pStyle w:val="Heading3"/>
        <w:rPr>
          <w:b/>
          <w:bCs/>
          <w:color w:val="000000" w:themeColor="text1"/>
          <w:sz w:val="28"/>
          <w:szCs w:val="28"/>
        </w:rPr>
      </w:pPr>
      <w:r w:rsidRPr="00C4707E">
        <w:rPr>
          <w:b/>
          <w:bCs/>
          <w:color w:val="000000" w:themeColor="text1"/>
          <w:sz w:val="28"/>
          <w:szCs w:val="28"/>
        </w:rPr>
        <w:t xml:space="preserve">Participatory Action Research to co-create a new </w:t>
      </w:r>
      <w:r w:rsidR="008C7D92" w:rsidRPr="00C4707E">
        <w:rPr>
          <w:b/>
          <w:bCs/>
          <w:color w:val="000000" w:themeColor="text1"/>
          <w:sz w:val="28"/>
          <w:szCs w:val="28"/>
        </w:rPr>
        <w:t>m</w:t>
      </w:r>
      <w:r w:rsidRPr="00C4707E">
        <w:rPr>
          <w:b/>
          <w:bCs/>
          <w:color w:val="000000" w:themeColor="text1"/>
          <w:sz w:val="28"/>
          <w:szCs w:val="28"/>
        </w:rPr>
        <w:t xml:space="preserve">odel of </w:t>
      </w:r>
      <w:r w:rsidR="008C7D92" w:rsidRPr="00C4707E">
        <w:rPr>
          <w:b/>
          <w:bCs/>
          <w:color w:val="000000" w:themeColor="text1"/>
          <w:sz w:val="28"/>
          <w:szCs w:val="28"/>
        </w:rPr>
        <w:t>c</w:t>
      </w:r>
      <w:r w:rsidRPr="00C4707E">
        <w:rPr>
          <w:b/>
          <w:bCs/>
          <w:color w:val="000000" w:themeColor="text1"/>
          <w:sz w:val="28"/>
          <w:szCs w:val="28"/>
        </w:rPr>
        <w:t xml:space="preserve">are </w:t>
      </w:r>
    </w:p>
    <w:p w14:paraId="5D16CE99" w14:textId="51C4B54C" w:rsidR="00901C97" w:rsidRDefault="00642A2C" w:rsidP="000E31D2">
      <w:pPr>
        <w:spacing w:after="0" w:line="240" w:lineRule="auto"/>
        <w:rPr>
          <w:rFonts w:cstheme="minorHAnsi"/>
          <w:sz w:val="24"/>
          <w:szCs w:val="24"/>
        </w:rPr>
      </w:pPr>
      <w:r>
        <w:rPr>
          <w:rFonts w:cstheme="minorHAnsi"/>
          <w:sz w:val="24"/>
          <w:szCs w:val="24"/>
        </w:rPr>
        <w:t>T</w:t>
      </w:r>
      <w:r w:rsidR="00ED6E23">
        <w:rPr>
          <w:rFonts w:cstheme="minorHAnsi"/>
          <w:sz w:val="24"/>
          <w:szCs w:val="24"/>
        </w:rPr>
        <w:t xml:space="preserve">he project </w:t>
      </w:r>
      <w:r w:rsidR="00901C97">
        <w:rPr>
          <w:rFonts w:cstheme="minorHAnsi"/>
          <w:sz w:val="24"/>
          <w:szCs w:val="24"/>
        </w:rPr>
        <w:t>work</w:t>
      </w:r>
      <w:r w:rsidR="00ED6E23">
        <w:rPr>
          <w:rFonts w:cstheme="minorHAnsi"/>
          <w:sz w:val="24"/>
          <w:szCs w:val="24"/>
        </w:rPr>
        <w:t>ed</w:t>
      </w:r>
      <w:r w:rsidR="00901C97">
        <w:rPr>
          <w:rFonts w:cstheme="minorHAnsi"/>
          <w:sz w:val="24"/>
          <w:szCs w:val="24"/>
        </w:rPr>
        <w:t xml:space="preserve"> </w:t>
      </w:r>
      <w:r w:rsidR="00901C97" w:rsidRPr="00C95B42">
        <w:rPr>
          <w:rFonts w:cstheme="minorHAnsi"/>
          <w:sz w:val="24"/>
          <w:szCs w:val="24"/>
        </w:rPr>
        <w:t>in</w:t>
      </w:r>
      <w:r w:rsidR="00901C97" w:rsidRPr="00C95B42">
        <w:rPr>
          <w:rFonts w:cstheme="minorHAnsi"/>
          <w:spacing w:val="-4"/>
          <w:sz w:val="24"/>
          <w:szCs w:val="24"/>
        </w:rPr>
        <w:t xml:space="preserve"> </w:t>
      </w:r>
      <w:r w:rsidR="00901C97" w:rsidRPr="00C95B42">
        <w:rPr>
          <w:rFonts w:cstheme="minorHAnsi"/>
          <w:sz w:val="24"/>
          <w:szCs w:val="24"/>
        </w:rPr>
        <w:t>partnership</w:t>
      </w:r>
      <w:r w:rsidR="00901C97" w:rsidRPr="00C95B42">
        <w:rPr>
          <w:rFonts w:cstheme="minorHAnsi"/>
          <w:spacing w:val="-4"/>
          <w:sz w:val="24"/>
          <w:szCs w:val="24"/>
        </w:rPr>
        <w:t xml:space="preserve"> </w:t>
      </w:r>
      <w:r w:rsidR="00901C97" w:rsidRPr="00C95B42">
        <w:rPr>
          <w:rFonts w:cstheme="minorHAnsi"/>
          <w:sz w:val="24"/>
          <w:szCs w:val="24"/>
        </w:rPr>
        <w:t>with</w:t>
      </w:r>
      <w:r w:rsidR="00901C97" w:rsidRPr="00C95B42">
        <w:rPr>
          <w:rFonts w:cstheme="minorHAnsi"/>
          <w:spacing w:val="-1"/>
          <w:sz w:val="24"/>
          <w:szCs w:val="24"/>
        </w:rPr>
        <w:t xml:space="preserve"> </w:t>
      </w:r>
      <w:r w:rsidR="00901C97" w:rsidRPr="00C95B42">
        <w:rPr>
          <w:rFonts w:cstheme="minorHAnsi"/>
          <w:sz w:val="24"/>
          <w:szCs w:val="24"/>
        </w:rPr>
        <w:t>a mixed and complex network of 10 social and health care agencies</w:t>
      </w:r>
      <w:r w:rsidR="00901C97">
        <w:rPr>
          <w:rFonts w:cstheme="minorHAnsi"/>
          <w:sz w:val="24"/>
          <w:szCs w:val="24"/>
        </w:rPr>
        <w:t xml:space="preserve"> </w:t>
      </w:r>
      <w:r w:rsidR="0075007F">
        <w:rPr>
          <w:sz w:val="24"/>
          <w:szCs w:val="24"/>
        </w:rPr>
        <w:t>and</w:t>
      </w:r>
      <w:r w:rsidR="0075007F" w:rsidRPr="00901C97">
        <w:rPr>
          <w:sz w:val="24"/>
          <w:szCs w:val="24"/>
        </w:rPr>
        <w:t xml:space="preserve"> the project’s PEAT</w:t>
      </w:r>
      <w:r w:rsidR="0075007F">
        <w:rPr>
          <w:rStyle w:val="FootnoteReference"/>
          <w:sz w:val="24"/>
          <w:szCs w:val="24"/>
        </w:rPr>
        <w:footnoteReference w:id="2"/>
      </w:r>
      <w:r w:rsidR="0075007F" w:rsidRPr="00901C97">
        <w:rPr>
          <w:sz w:val="24"/>
          <w:szCs w:val="24"/>
        </w:rPr>
        <w:t xml:space="preserve"> </w:t>
      </w:r>
      <w:r w:rsidR="00901C97" w:rsidRPr="00C95B42">
        <w:rPr>
          <w:rFonts w:cstheme="minorHAnsi"/>
          <w:sz w:val="24"/>
          <w:szCs w:val="24"/>
        </w:rPr>
        <w:t xml:space="preserve">to </w:t>
      </w:r>
      <w:r w:rsidR="00901C97">
        <w:rPr>
          <w:rFonts w:cstheme="minorHAnsi"/>
          <w:sz w:val="24"/>
          <w:szCs w:val="24"/>
        </w:rPr>
        <w:t>co-</w:t>
      </w:r>
      <w:r w:rsidR="00901C97" w:rsidRPr="00C95B42">
        <w:rPr>
          <w:rFonts w:cstheme="minorHAnsi"/>
          <w:sz w:val="24"/>
          <w:szCs w:val="24"/>
        </w:rPr>
        <w:t xml:space="preserve">create a new </w:t>
      </w:r>
      <w:r w:rsidR="007D7848">
        <w:rPr>
          <w:rFonts w:cstheme="minorHAnsi"/>
          <w:sz w:val="24"/>
          <w:szCs w:val="24"/>
        </w:rPr>
        <w:t xml:space="preserve">model of </w:t>
      </w:r>
      <w:r w:rsidR="00901C97">
        <w:rPr>
          <w:rFonts w:cstheme="minorHAnsi"/>
          <w:sz w:val="24"/>
          <w:szCs w:val="24"/>
        </w:rPr>
        <w:t xml:space="preserve">end-of-life </w:t>
      </w:r>
      <w:r w:rsidR="00901C97" w:rsidRPr="00C95B42">
        <w:rPr>
          <w:rFonts w:cstheme="minorHAnsi"/>
          <w:sz w:val="24"/>
          <w:szCs w:val="24"/>
        </w:rPr>
        <w:t xml:space="preserve">care for people </w:t>
      </w:r>
      <w:r w:rsidR="00901C97">
        <w:rPr>
          <w:rFonts w:cstheme="minorHAnsi"/>
          <w:sz w:val="24"/>
          <w:szCs w:val="24"/>
        </w:rPr>
        <w:t>using substances</w:t>
      </w:r>
      <w:r w:rsidR="00901C97" w:rsidRPr="00901C97">
        <w:rPr>
          <w:rFonts w:cstheme="minorHAnsi"/>
          <w:sz w:val="24"/>
          <w:szCs w:val="24"/>
        </w:rPr>
        <w:t xml:space="preserve">. </w:t>
      </w:r>
      <w:r w:rsidR="004D0479">
        <w:rPr>
          <w:rFonts w:ascii="Calibri" w:eastAsiaTheme="majorEastAsia" w:hAnsi="Calibri"/>
          <w:sz w:val="24"/>
          <w:szCs w:val="24"/>
        </w:rPr>
        <w:t xml:space="preserve">This process revealed </w:t>
      </w:r>
      <w:r w:rsidR="00D72E9A">
        <w:rPr>
          <w:rFonts w:ascii="Calibri" w:eastAsiaTheme="majorEastAsia" w:hAnsi="Calibri"/>
          <w:sz w:val="24"/>
          <w:szCs w:val="24"/>
        </w:rPr>
        <w:t xml:space="preserve">that little was known </w:t>
      </w:r>
      <w:r w:rsidR="004D0479">
        <w:rPr>
          <w:rFonts w:ascii="Calibri" w:eastAsiaTheme="majorEastAsia" w:hAnsi="Calibri"/>
          <w:sz w:val="24"/>
          <w:szCs w:val="24"/>
        </w:rPr>
        <w:t xml:space="preserve">formally </w:t>
      </w:r>
      <w:r w:rsidR="00D72E9A">
        <w:rPr>
          <w:rFonts w:ascii="Calibri" w:eastAsiaTheme="majorEastAsia" w:hAnsi="Calibri"/>
          <w:sz w:val="24"/>
          <w:szCs w:val="24"/>
        </w:rPr>
        <w:t>about responding to substance use at end of life</w:t>
      </w:r>
      <w:r w:rsidR="00822A61">
        <w:rPr>
          <w:rFonts w:ascii="Calibri" w:eastAsiaTheme="majorEastAsia" w:hAnsi="Calibri"/>
          <w:sz w:val="24"/>
          <w:szCs w:val="24"/>
        </w:rPr>
        <w:t>,</w:t>
      </w:r>
      <w:r w:rsidR="00D72E9A">
        <w:rPr>
          <w:rFonts w:ascii="Calibri" w:eastAsiaTheme="majorEastAsia" w:hAnsi="Calibri"/>
          <w:sz w:val="24"/>
          <w:szCs w:val="24"/>
        </w:rPr>
        <w:t xml:space="preserve"> </w:t>
      </w:r>
      <w:r w:rsidR="00E22D18">
        <w:rPr>
          <w:rFonts w:ascii="Calibri" w:eastAsiaTheme="majorEastAsia" w:hAnsi="Calibri"/>
          <w:sz w:val="24"/>
          <w:szCs w:val="24"/>
        </w:rPr>
        <w:t>that</w:t>
      </w:r>
      <w:r w:rsidR="00D72E9A">
        <w:rPr>
          <w:rFonts w:ascii="Calibri" w:eastAsiaTheme="majorEastAsia" w:hAnsi="Calibri"/>
          <w:sz w:val="24"/>
          <w:szCs w:val="24"/>
        </w:rPr>
        <w:t xml:space="preserve"> more </w:t>
      </w:r>
      <w:r w:rsidR="00E20221">
        <w:rPr>
          <w:rFonts w:ascii="Calibri" w:eastAsiaTheme="majorEastAsia" w:hAnsi="Calibri"/>
          <w:sz w:val="24"/>
          <w:szCs w:val="24"/>
        </w:rPr>
        <w:t xml:space="preserve">practice </w:t>
      </w:r>
      <w:r w:rsidR="00D72E9A">
        <w:rPr>
          <w:rFonts w:ascii="Calibri" w:eastAsiaTheme="majorEastAsia" w:hAnsi="Calibri"/>
          <w:sz w:val="24"/>
          <w:szCs w:val="24"/>
        </w:rPr>
        <w:t>engagement was needed ahead of policy and practice</w:t>
      </w:r>
      <w:r w:rsidR="00E20221">
        <w:rPr>
          <w:rFonts w:ascii="Calibri" w:eastAsiaTheme="majorEastAsia" w:hAnsi="Calibri"/>
          <w:sz w:val="24"/>
          <w:szCs w:val="24"/>
        </w:rPr>
        <w:t xml:space="preserve"> change</w:t>
      </w:r>
      <w:r w:rsidR="00704608">
        <w:rPr>
          <w:rFonts w:ascii="Calibri" w:eastAsiaTheme="majorEastAsia" w:hAnsi="Calibri"/>
          <w:sz w:val="24"/>
          <w:szCs w:val="24"/>
        </w:rPr>
        <w:t xml:space="preserve">, and </w:t>
      </w:r>
      <w:r w:rsidR="00D82428" w:rsidRPr="00C95B42">
        <w:rPr>
          <w:rFonts w:eastAsiaTheme="majorEastAsia" w:cstheme="minorHAnsi"/>
          <w:sz w:val="24"/>
          <w:szCs w:val="24"/>
        </w:rPr>
        <w:t>the</w:t>
      </w:r>
      <w:r w:rsidR="00E22D18">
        <w:rPr>
          <w:rFonts w:eastAsiaTheme="majorEastAsia" w:cstheme="minorHAnsi"/>
          <w:sz w:val="24"/>
          <w:szCs w:val="24"/>
        </w:rPr>
        <w:t>re was a</w:t>
      </w:r>
      <w:r w:rsidR="00D82428" w:rsidRPr="00C95B42">
        <w:rPr>
          <w:rFonts w:eastAsiaTheme="majorEastAsia" w:cstheme="minorHAnsi"/>
          <w:sz w:val="24"/>
          <w:szCs w:val="24"/>
        </w:rPr>
        <w:t xml:space="preserve"> need for wide</w:t>
      </w:r>
      <w:r w:rsidR="00704608">
        <w:rPr>
          <w:rFonts w:eastAsiaTheme="majorEastAsia" w:cstheme="minorHAnsi"/>
          <w:sz w:val="24"/>
          <w:szCs w:val="24"/>
        </w:rPr>
        <w:t>spread</w:t>
      </w:r>
      <w:r w:rsidR="00D82428" w:rsidRPr="00C95B42">
        <w:rPr>
          <w:rFonts w:eastAsiaTheme="majorEastAsia" w:cstheme="minorHAnsi"/>
          <w:sz w:val="24"/>
          <w:szCs w:val="24"/>
        </w:rPr>
        <w:t xml:space="preserve"> dissemination of knowledge. </w:t>
      </w:r>
    </w:p>
    <w:p w14:paraId="2A6D6C3B" w14:textId="582DDB73" w:rsidR="000E31D2" w:rsidRDefault="000E31D2" w:rsidP="000E31D2">
      <w:pPr>
        <w:spacing w:after="0" w:line="240" w:lineRule="auto"/>
        <w:rPr>
          <w:rFonts w:ascii="Calibri" w:eastAsiaTheme="majorEastAsia" w:hAnsi="Calibri"/>
          <w:b/>
          <w:bCs/>
          <w:sz w:val="24"/>
          <w:szCs w:val="24"/>
        </w:rPr>
      </w:pPr>
    </w:p>
    <w:p w14:paraId="7248BF23" w14:textId="77777777" w:rsidR="00C4707E" w:rsidRDefault="00C4707E" w:rsidP="000E31D2">
      <w:pPr>
        <w:spacing w:after="0" w:line="240" w:lineRule="auto"/>
        <w:rPr>
          <w:rFonts w:ascii="Calibri" w:eastAsiaTheme="majorEastAsia" w:hAnsi="Calibri"/>
          <w:b/>
          <w:bCs/>
          <w:sz w:val="24"/>
          <w:szCs w:val="24"/>
        </w:rPr>
      </w:pPr>
    </w:p>
    <w:p w14:paraId="3FEFF7CC" w14:textId="207B04A2" w:rsidR="00D72E9A" w:rsidRPr="00C4707E" w:rsidRDefault="00D72E9A" w:rsidP="00C4707E">
      <w:pPr>
        <w:pStyle w:val="Heading3"/>
        <w:rPr>
          <w:b/>
          <w:bCs/>
          <w:color w:val="000000" w:themeColor="text1"/>
          <w:sz w:val="28"/>
          <w:szCs w:val="28"/>
        </w:rPr>
      </w:pPr>
      <w:r w:rsidRPr="00C4707E">
        <w:rPr>
          <w:b/>
          <w:bCs/>
          <w:color w:val="000000" w:themeColor="text1"/>
          <w:sz w:val="28"/>
          <w:szCs w:val="28"/>
        </w:rPr>
        <w:t xml:space="preserve">The new </w:t>
      </w:r>
      <w:r w:rsidR="008C7D92" w:rsidRPr="00C4707E">
        <w:rPr>
          <w:b/>
          <w:bCs/>
          <w:color w:val="000000" w:themeColor="text1"/>
          <w:sz w:val="28"/>
          <w:szCs w:val="28"/>
        </w:rPr>
        <w:t>m</w:t>
      </w:r>
      <w:r w:rsidRPr="00C4707E">
        <w:rPr>
          <w:b/>
          <w:bCs/>
          <w:color w:val="000000" w:themeColor="text1"/>
          <w:sz w:val="28"/>
          <w:szCs w:val="28"/>
        </w:rPr>
        <w:t xml:space="preserve">odel of </w:t>
      </w:r>
      <w:r w:rsidR="008C7D92" w:rsidRPr="00C4707E">
        <w:rPr>
          <w:b/>
          <w:bCs/>
          <w:color w:val="000000" w:themeColor="text1"/>
          <w:sz w:val="28"/>
          <w:szCs w:val="28"/>
        </w:rPr>
        <w:t>c</w:t>
      </w:r>
      <w:r w:rsidRPr="00C4707E">
        <w:rPr>
          <w:b/>
          <w:bCs/>
          <w:color w:val="000000" w:themeColor="text1"/>
          <w:sz w:val="28"/>
          <w:szCs w:val="28"/>
        </w:rPr>
        <w:t>are</w:t>
      </w:r>
    </w:p>
    <w:p w14:paraId="3D995BA9" w14:textId="2A2F39FF" w:rsidR="00D72E9A" w:rsidRPr="00C03874" w:rsidRDefault="000A73CC" w:rsidP="000E31D2">
      <w:pPr>
        <w:spacing w:after="0" w:line="240" w:lineRule="auto"/>
        <w:rPr>
          <w:sz w:val="24"/>
          <w:szCs w:val="24"/>
        </w:rPr>
      </w:pPr>
      <w:r>
        <w:rPr>
          <w:sz w:val="24"/>
          <w:szCs w:val="24"/>
        </w:rPr>
        <w:t xml:space="preserve">An initial </w:t>
      </w:r>
      <w:r w:rsidR="008C7D92">
        <w:rPr>
          <w:sz w:val="24"/>
          <w:szCs w:val="24"/>
        </w:rPr>
        <w:t>t</w:t>
      </w:r>
      <w:r>
        <w:rPr>
          <w:sz w:val="24"/>
          <w:szCs w:val="24"/>
        </w:rPr>
        <w:t xml:space="preserve">heory of </w:t>
      </w:r>
      <w:r w:rsidR="008C7D92">
        <w:rPr>
          <w:sz w:val="24"/>
          <w:szCs w:val="24"/>
        </w:rPr>
        <w:t>c</w:t>
      </w:r>
      <w:r>
        <w:rPr>
          <w:sz w:val="24"/>
          <w:szCs w:val="24"/>
        </w:rPr>
        <w:t>hange</w:t>
      </w:r>
      <w:r w:rsidR="00D72E9A" w:rsidRPr="00C03874">
        <w:rPr>
          <w:sz w:val="24"/>
          <w:szCs w:val="24"/>
        </w:rPr>
        <w:t xml:space="preserve"> set out </w:t>
      </w:r>
      <w:r>
        <w:rPr>
          <w:sz w:val="24"/>
          <w:szCs w:val="24"/>
        </w:rPr>
        <w:t>a consensus about the</w:t>
      </w:r>
      <w:r w:rsidR="00D72E9A" w:rsidRPr="00C03874">
        <w:rPr>
          <w:sz w:val="24"/>
          <w:szCs w:val="24"/>
        </w:rPr>
        <w:t xml:space="preserve"> long-, medium- and short-term goals</w:t>
      </w:r>
      <w:r w:rsidR="00833B4C">
        <w:rPr>
          <w:sz w:val="24"/>
          <w:szCs w:val="24"/>
        </w:rPr>
        <w:t xml:space="preserve"> for improving care</w:t>
      </w:r>
      <w:r w:rsidR="00D72E9A" w:rsidRPr="00C03874">
        <w:rPr>
          <w:sz w:val="24"/>
          <w:szCs w:val="24"/>
        </w:rPr>
        <w:t xml:space="preserve">. </w:t>
      </w:r>
      <w:r w:rsidR="00D72E9A" w:rsidRPr="00833B4C">
        <w:rPr>
          <w:sz w:val="24"/>
          <w:szCs w:val="24"/>
        </w:rPr>
        <w:t xml:space="preserve">Given the </w:t>
      </w:r>
      <w:r w:rsidR="005F36A2" w:rsidRPr="00833B4C">
        <w:rPr>
          <w:sz w:val="24"/>
          <w:szCs w:val="24"/>
        </w:rPr>
        <w:t>project</w:t>
      </w:r>
      <w:r w:rsidR="005F36A2">
        <w:rPr>
          <w:sz w:val="24"/>
          <w:szCs w:val="24"/>
        </w:rPr>
        <w:t>’s</w:t>
      </w:r>
      <w:r w:rsidR="005F36A2" w:rsidRPr="00833B4C">
        <w:rPr>
          <w:sz w:val="24"/>
          <w:szCs w:val="24"/>
        </w:rPr>
        <w:t xml:space="preserve"> </w:t>
      </w:r>
      <w:r w:rsidR="00D72E9A" w:rsidRPr="00833B4C">
        <w:rPr>
          <w:sz w:val="24"/>
          <w:szCs w:val="24"/>
        </w:rPr>
        <w:t>time</w:t>
      </w:r>
      <w:r w:rsidR="00833B4C">
        <w:rPr>
          <w:sz w:val="24"/>
          <w:szCs w:val="24"/>
        </w:rPr>
        <w:t>span</w:t>
      </w:r>
      <w:r w:rsidR="00D72E9A" w:rsidRPr="00833B4C">
        <w:rPr>
          <w:sz w:val="24"/>
          <w:szCs w:val="24"/>
        </w:rPr>
        <w:t>, the focus was on short-term impact</w:t>
      </w:r>
      <w:r w:rsidR="00B22838">
        <w:rPr>
          <w:sz w:val="24"/>
          <w:szCs w:val="24"/>
        </w:rPr>
        <w:t xml:space="preserve">, with </w:t>
      </w:r>
      <w:r w:rsidR="00D72E9A" w:rsidRPr="00C03874">
        <w:rPr>
          <w:sz w:val="24"/>
          <w:szCs w:val="24"/>
        </w:rPr>
        <w:t>four short-term outcomes:</w:t>
      </w:r>
    </w:p>
    <w:p w14:paraId="1BEF0A58" w14:textId="77777777" w:rsidR="00D72E9A" w:rsidRPr="00C03874" w:rsidRDefault="00D72E9A" w:rsidP="000E31D2">
      <w:pPr>
        <w:pStyle w:val="ListParagraph"/>
        <w:numPr>
          <w:ilvl w:val="0"/>
          <w:numId w:val="2"/>
        </w:numPr>
      </w:pPr>
      <w:r w:rsidRPr="00C03874">
        <w:t>Carers equipped to have sensitive conversations about serious and advancing ill health, substance use, and advanced care planning.</w:t>
      </w:r>
    </w:p>
    <w:p w14:paraId="3C6C928F" w14:textId="77777777" w:rsidR="00D72E9A" w:rsidRPr="00C03874" w:rsidRDefault="00D72E9A" w:rsidP="000E31D2">
      <w:pPr>
        <w:pStyle w:val="ListParagraph"/>
        <w:numPr>
          <w:ilvl w:val="0"/>
          <w:numId w:val="2"/>
        </w:numPr>
      </w:pPr>
      <w:r w:rsidRPr="00C03874">
        <w:t>Consistent advocacy for people using substances navigating health and social care provision to access palliative and end-of-life care.</w:t>
      </w:r>
    </w:p>
    <w:p w14:paraId="2C3F4175" w14:textId="77777777" w:rsidR="00D72E9A" w:rsidRPr="00C03874" w:rsidRDefault="00D72E9A" w:rsidP="000E31D2">
      <w:pPr>
        <w:pStyle w:val="ListParagraph"/>
        <w:numPr>
          <w:ilvl w:val="0"/>
          <w:numId w:val="2"/>
        </w:numPr>
      </w:pPr>
      <w:r w:rsidRPr="00C03874">
        <w:t>Practitioners and peers feel better supported to work/live with SAIH and substance use.</w:t>
      </w:r>
    </w:p>
    <w:p w14:paraId="11BEE040" w14:textId="67997763" w:rsidR="00D72E9A" w:rsidRDefault="00D72E9A" w:rsidP="000E31D2">
      <w:pPr>
        <w:pStyle w:val="ListParagraph"/>
        <w:numPr>
          <w:ilvl w:val="0"/>
          <w:numId w:val="2"/>
        </w:numPr>
      </w:pPr>
      <w:r w:rsidRPr="00C03874">
        <w:t>Resources available for family/carers to access information and support.</w:t>
      </w:r>
    </w:p>
    <w:p w14:paraId="05860A21" w14:textId="6BD9A549" w:rsidR="000E31D2" w:rsidRDefault="000E31D2" w:rsidP="000E31D2">
      <w:pPr>
        <w:pStyle w:val="ListParagraph"/>
      </w:pPr>
    </w:p>
    <w:p w14:paraId="17A6E03A" w14:textId="77777777" w:rsidR="00C4707E" w:rsidRPr="00C03874" w:rsidRDefault="00C4707E" w:rsidP="000E31D2">
      <w:pPr>
        <w:pStyle w:val="ListParagraph"/>
      </w:pPr>
    </w:p>
    <w:p w14:paraId="5439A3E3" w14:textId="77777777" w:rsidR="00914186" w:rsidRPr="00C4707E" w:rsidRDefault="00914186" w:rsidP="00C4707E">
      <w:pPr>
        <w:pStyle w:val="Heading3"/>
        <w:rPr>
          <w:b/>
          <w:bCs/>
          <w:color w:val="000000" w:themeColor="text1"/>
          <w:sz w:val="28"/>
          <w:szCs w:val="28"/>
        </w:rPr>
      </w:pPr>
      <w:r w:rsidRPr="00C4707E">
        <w:rPr>
          <w:b/>
          <w:bCs/>
          <w:color w:val="000000" w:themeColor="text1"/>
          <w:sz w:val="28"/>
          <w:szCs w:val="28"/>
        </w:rPr>
        <w:lastRenderedPageBreak/>
        <w:t>Research design and methods</w:t>
      </w:r>
    </w:p>
    <w:p w14:paraId="42513141" w14:textId="319F809A" w:rsidR="00914186" w:rsidRPr="00C95B42" w:rsidRDefault="00562E35" w:rsidP="000E31D2">
      <w:pPr>
        <w:spacing w:after="0" w:line="240" w:lineRule="auto"/>
        <w:rPr>
          <w:rFonts w:cstheme="minorHAnsi"/>
          <w:sz w:val="24"/>
          <w:szCs w:val="24"/>
        </w:rPr>
      </w:pPr>
      <w:r>
        <w:rPr>
          <w:rFonts w:cstheme="minorHAnsi"/>
          <w:sz w:val="24"/>
          <w:szCs w:val="24"/>
        </w:rPr>
        <w:t>M</w:t>
      </w:r>
      <w:r w:rsidR="00914186" w:rsidRPr="00C95B42">
        <w:rPr>
          <w:rFonts w:cstheme="minorHAnsi"/>
          <w:sz w:val="24"/>
          <w:szCs w:val="24"/>
        </w:rPr>
        <w:t xml:space="preserve">ixed methods research </w:t>
      </w:r>
      <w:r w:rsidR="00430CE1">
        <w:rPr>
          <w:rFonts w:cstheme="minorHAnsi"/>
          <w:sz w:val="24"/>
          <w:szCs w:val="24"/>
        </w:rPr>
        <w:t>measur</w:t>
      </w:r>
      <w:r w:rsidR="00CD7941">
        <w:rPr>
          <w:rFonts w:cstheme="minorHAnsi"/>
          <w:sz w:val="24"/>
          <w:szCs w:val="24"/>
        </w:rPr>
        <w:t>e</w:t>
      </w:r>
      <w:r w:rsidR="00742499">
        <w:rPr>
          <w:rFonts w:cstheme="minorHAnsi"/>
          <w:sz w:val="24"/>
          <w:szCs w:val="24"/>
        </w:rPr>
        <w:t>d</w:t>
      </w:r>
      <w:r w:rsidR="00430CE1">
        <w:rPr>
          <w:rFonts w:cstheme="minorHAnsi"/>
          <w:sz w:val="24"/>
          <w:szCs w:val="24"/>
        </w:rPr>
        <w:t xml:space="preserve"> the impact of this new model of care</w:t>
      </w:r>
      <w:r w:rsidR="00914186">
        <w:rPr>
          <w:rStyle w:val="FootnoteReference"/>
          <w:rFonts w:cstheme="minorHAnsi"/>
          <w:sz w:val="24"/>
          <w:szCs w:val="24"/>
        </w:rPr>
        <w:footnoteReference w:id="3"/>
      </w:r>
      <w:r w:rsidR="00742499">
        <w:rPr>
          <w:rFonts w:cstheme="minorHAnsi"/>
          <w:sz w:val="24"/>
          <w:szCs w:val="24"/>
        </w:rPr>
        <w:t xml:space="preserve"> through</w:t>
      </w:r>
      <w:r w:rsidR="00914186">
        <w:rPr>
          <w:rFonts w:cstheme="minorHAnsi"/>
          <w:sz w:val="24"/>
          <w:szCs w:val="24"/>
        </w:rPr>
        <w:t>:</w:t>
      </w:r>
    </w:p>
    <w:p w14:paraId="3FDB52C5" w14:textId="43B8DD6A" w:rsidR="00914186" w:rsidRPr="00C95B42" w:rsidRDefault="00914186" w:rsidP="000E31D2">
      <w:pPr>
        <w:pStyle w:val="ListParagraph"/>
        <w:numPr>
          <w:ilvl w:val="0"/>
          <w:numId w:val="4"/>
        </w:numPr>
        <w:rPr>
          <w:rFonts w:asciiTheme="minorHAnsi" w:hAnsiTheme="minorHAnsi" w:cstheme="minorHAnsi"/>
        </w:rPr>
      </w:pPr>
      <w:r>
        <w:rPr>
          <w:rFonts w:asciiTheme="minorHAnsi" w:hAnsiTheme="minorHAnsi" w:cstheme="minorHAnsi"/>
        </w:rPr>
        <w:t xml:space="preserve">In-depth individual interviews and focus groups with social and health care practitioners </w:t>
      </w:r>
      <w:r w:rsidR="0095288C">
        <w:rPr>
          <w:rFonts w:asciiTheme="minorHAnsi" w:hAnsiTheme="minorHAnsi" w:cstheme="minorHAnsi"/>
        </w:rPr>
        <w:t xml:space="preserve">and managers </w:t>
      </w:r>
      <w:r>
        <w:rPr>
          <w:rFonts w:asciiTheme="minorHAnsi" w:hAnsiTheme="minorHAnsi" w:cstheme="minorHAnsi"/>
        </w:rPr>
        <w:t xml:space="preserve">who had experience of supporting people using substances at end of </w:t>
      </w:r>
      <w:proofErr w:type="gramStart"/>
      <w:r>
        <w:rPr>
          <w:rFonts w:asciiTheme="minorHAnsi" w:hAnsiTheme="minorHAnsi" w:cstheme="minorHAnsi"/>
        </w:rPr>
        <w:t>life;</w:t>
      </w:r>
      <w:proofErr w:type="gramEnd"/>
    </w:p>
    <w:p w14:paraId="5C032655" w14:textId="1873F922" w:rsidR="00914186" w:rsidRPr="00E1064C" w:rsidRDefault="00914186" w:rsidP="000E31D2">
      <w:pPr>
        <w:pStyle w:val="ListParagraph"/>
        <w:numPr>
          <w:ilvl w:val="0"/>
          <w:numId w:val="4"/>
        </w:numPr>
        <w:rPr>
          <w:rFonts w:asciiTheme="minorHAnsi" w:hAnsiTheme="minorHAnsi" w:cstheme="minorHAnsi"/>
        </w:rPr>
      </w:pPr>
      <w:r>
        <w:rPr>
          <w:rFonts w:cstheme="minorHAnsi"/>
        </w:rPr>
        <w:t>B</w:t>
      </w:r>
      <w:r w:rsidRPr="00413BCB">
        <w:rPr>
          <w:rFonts w:asciiTheme="minorHAnsi" w:hAnsiTheme="minorHAnsi" w:cstheme="minorHAnsi"/>
        </w:rPr>
        <w:t>espoke questionnaires</w:t>
      </w:r>
      <w:r w:rsidR="00722DC1">
        <w:rPr>
          <w:rStyle w:val="FootnoteReference"/>
          <w:rFonts w:asciiTheme="minorHAnsi" w:hAnsiTheme="minorHAnsi" w:cstheme="minorHAnsi"/>
        </w:rPr>
        <w:footnoteReference w:id="4"/>
      </w:r>
      <w:r>
        <w:rPr>
          <w:rFonts w:asciiTheme="minorHAnsi" w:hAnsiTheme="minorHAnsi" w:cstheme="minorHAnsi"/>
        </w:rPr>
        <w:t xml:space="preserve"> to capture </w:t>
      </w:r>
      <w:r w:rsidR="005F6DBB">
        <w:rPr>
          <w:rFonts w:asciiTheme="minorHAnsi" w:hAnsiTheme="minorHAnsi" w:cstheme="minorHAnsi"/>
        </w:rPr>
        <w:t xml:space="preserve">practitioners’ </w:t>
      </w:r>
      <w:r>
        <w:rPr>
          <w:rFonts w:asciiTheme="minorHAnsi" w:hAnsiTheme="minorHAnsi" w:cstheme="minorHAnsi"/>
        </w:rPr>
        <w:t xml:space="preserve">pre- and </w:t>
      </w:r>
      <w:r w:rsidRPr="00C95B42">
        <w:rPr>
          <w:rFonts w:asciiTheme="minorHAnsi" w:hAnsiTheme="minorHAnsi" w:cstheme="minorHAnsi"/>
        </w:rPr>
        <w:t>post-</w:t>
      </w:r>
      <w:r w:rsidR="00097CC9">
        <w:rPr>
          <w:rFonts w:asciiTheme="minorHAnsi" w:hAnsiTheme="minorHAnsi" w:cstheme="minorHAnsi"/>
        </w:rPr>
        <w:t>model of care</w:t>
      </w:r>
      <w:r>
        <w:rPr>
          <w:rFonts w:asciiTheme="minorHAnsi" w:hAnsiTheme="minorHAnsi" w:cstheme="minorHAnsi"/>
        </w:rPr>
        <w:t xml:space="preserve"> experiences of unmet </w:t>
      </w:r>
      <w:r>
        <w:t>physical, psychological, emotional, spiritual, information and support</w:t>
      </w:r>
      <w:r w:rsidR="00097CC9">
        <w:t xml:space="preserve"> </w:t>
      </w:r>
      <w:r w:rsidR="00097CC9">
        <w:rPr>
          <w:rFonts w:asciiTheme="minorHAnsi" w:hAnsiTheme="minorHAnsi" w:cstheme="minorHAnsi"/>
        </w:rPr>
        <w:t>needs among people using substances</w:t>
      </w:r>
      <w:r w:rsidR="00716BD2">
        <w:rPr>
          <w:rFonts w:asciiTheme="minorHAnsi" w:hAnsiTheme="minorHAnsi" w:cstheme="minorHAnsi"/>
        </w:rPr>
        <w:t xml:space="preserve"> approaching end of life</w:t>
      </w:r>
      <w:r w:rsidR="00E1064C">
        <w:rPr>
          <w:rFonts w:asciiTheme="minorHAnsi" w:hAnsiTheme="minorHAnsi" w:cstheme="minorHAnsi"/>
        </w:rPr>
        <w:t>; and</w:t>
      </w:r>
      <w:r>
        <w:t xml:space="preserve"> </w:t>
      </w:r>
    </w:p>
    <w:p w14:paraId="445C0683" w14:textId="023F3C74" w:rsidR="00E1064C" w:rsidRPr="000E31D2" w:rsidRDefault="00D7163C" w:rsidP="000E31D2">
      <w:pPr>
        <w:pStyle w:val="ListParagraph"/>
        <w:numPr>
          <w:ilvl w:val="0"/>
          <w:numId w:val="4"/>
        </w:numPr>
        <w:rPr>
          <w:rFonts w:asciiTheme="minorHAnsi" w:hAnsiTheme="minorHAnsi" w:cstheme="minorHAnsi"/>
        </w:rPr>
      </w:pPr>
      <w:r>
        <w:t>Responsive e</w:t>
      </w:r>
      <w:r w:rsidR="00433D80">
        <w:t xml:space="preserve">ngagement with a group of individuals with lived experience </w:t>
      </w:r>
      <w:r w:rsidR="00650575">
        <w:t xml:space="preserve">of substance use and </w:t>
      </w:r>
      <w:r w:rsidR="008B4185">
        <w:t>palliative needs to produce a series of case studies</w:t>
      </w:r>
      <w:r w:rsidR="00A54F9F">
        <w:t>.</w:t>
      </w:r>
    </w:p>
    <w:p w14:paraId="4EFEE4EA" w14:textId="77F4CA8A" w:rsidR="000E31D2" w:rsidRDefault="000E31D2" w:rsidP="000E31D2">
      <w:pPr>
        <w:pStyle w:val="ListParagraph"/>
        <w:rPr>
          <w:rFonts w:asciiTheme="minorHAnsi" w:hAnsiTheme="minorHAnsi" w:cstheme="minorHAnsi"/>
        </w:rPr>
      </w:pPr>
    </w:p>
    <w:p w14:paraId="050AF630" w14:textId="77777777" w:rsidR="00C4707E" w:rsidRPr="00C95B42" w:rsidRDefault="00C4707E" w:rsidP="000E31D2">
      <w:pPr>
        <w:pStyle w:val="ListParagraph"/>
        <w:rPr>
          <w:rFonts w:asciiTheme="minorHAnsi" w:hAnsiTheme="minorHAnsi" w:cstheme="minorHAnsi"/>
        </w:rPr>
      </w:pPr>
    </w:p>
    <w:p w14:paraId="06A11A0C" w14:textId="29908AC0" w:rsidR="002F17BE" w:rsidRPr="00C4707E" w:rsidRDefault="00D72E9A" w:rsidP="00C4707E">
      <w:pPr>
        <w:pStyle w:val="Heading3"/>
        <w:rPr>
          <w:b/>
          <w:bCs/>
          <w:color w:val="000000" w:themeColor="text1"/>
          <w:sz w:val="28"/>
          <w:szCs w:val="28"/>
        </w:rPr>
      </w:pPr>
      <w:r w:rsidRPr="00C4707E">
        <w:rPr>
          <w:b/>
          <w:bCs/>
          <w:color w:val="000000" w:themeColor="text1"/>
          <w:sz w:val="28"/>
          <w:szCs w:val="28"/>
        </w:rPr>
        <w:t xml:space="preserve">Research </w:t>
      </w:r>
      <w:r w:rsidR="005A3825" w:rsidRPr="00C4707E">
        <w:rPr>
          <w:b/>
          <w:bCs/>
          <w:color w:val="000000" w:themeColor="text1"/>
          <w:sz w:val="28"/>
          <w:szCs w:val="28"/>
        </w:rPr>
        <w:t>f</w:t>
      </w:r>
      <w:r w:rsidRPr="00C4707E">
        <w:rPr>
          <w:b/>
          <w:bCs/>
          <w:color w:val="000000" w:themeColor="text1"/>
          <w:sz w:val="28"/>
          <w:szCs w:val="28"/>
        </w:rPr>
        <w:t>indings</w:t>
      </w:r>
    </w:p>
    <w:p w14:paraId="6781A21E" w14:textId="77777777" w:rsidR="000E31D2" w:rsidRPr="00D72E9A" w:rsidRDefault="000E31D2" w:rsidP="000E31D2">
      <w:pPr>
        <w:spacing w:after="0" w:line="240" w:lineRule="auto"/>
        <w:rPr>
          <w:rFonts w:ascii="Calibri" w:eastAsiaTheme="majorEastAsia" w:hAnsi="Calibri"/>
          <w:b/>
          <w:bCs/>
          <w:sz w:val="24"/>
          <w:szCs w:val="24"/>
        </w:rPr>
      </w:pPr>
    </w:p>
    <w:p w14:paraId="6007135C" w14:textId="33967D7F" w:rsidR="000E31D2" w:rsidRDefault="006C362A" w:rsidP="000E31D2">
      <w:pPr>
        <w:spacing w:after="0" w:line="240" w:lineRule="auto"/>
        <w:rPr>
          <w:rFonts w:cstheme="minorHAnsi"/>
          <w:sz w:val="24"/>
          <w:szCs w:val="24"/>
        </w:rPr>
      </w:pPr>
      <w:r>
        <w:rPr>
          <w:rFonts w:ascii="Calibri" w:eastAsiaTheme="majorEastAsia" w:hAnsi="Calibri"/>
          <w:b/>
          <w:bCs/>
          <w:i/>
          <w:iCs/>
          <w:sz w:val="24"/>
          <w:szCs w:val="24"/>
        </w:rPr>
        <w:t>Practitioner focus groups</w:t>
      </w:r>
      <w:r w:rsidRPr="00AC3A3C">
        <w:rPr>
          <w:rFonts w:ascii="Calibri" w:eastAsiaTheme="majorEastAsia" w:hAnsi="Calibri"/>
          <w:b/>
          <w:bCs/>
          <w:i/>
          <w:iCs/>
          <w:sz w:val="24"/>
          <w:szCs w:val="24"/>
        </w:rPr>
        <w:t>:</w:t>
      </w:r>
      <w:r w:rsidR="0095288C">
        <w:rPr>
          <w:rFonts w:ascii="Calibri" w:eastAsiaTheme="majorEastAsia" w:hAnsi="Calibri"/>
          <w:b/>
          <w:bCs/>
          <w:i/>
          <w:iCs/>
          <w:sz w:val="24"/>
          <w:szCs w:val="24"/>
        </w:rPr>
        <w:t xml:space="preserve"> </w:t>
      </w:r>
      <w:r w:rsidR="00B01603" w:rsidRPr="00B01603">
        <w:rPr>
          <w:rFonts w:ascii="Calibri" w:eastAsiaTheme="majorEastAsia" w:hAnsi="Calibri"/>
          <w:sz w:val="24"/>
          <w:szCs w:val="24"/>
        </w:rPr>
        <w:t>These</w:t>
      </w:r>
      <w:r w:rsidR="00B01603">
        <w:rPr>
          <w:rFonts w:ascii="Calibri" w:eastAsiaTheme="majorEastAsia" w:hAnsi="Calibri"/>
          <w:b/>
          <w:bCs/>
          <w:sz w:val="24"/>
          <w:szCs w:val="24"/>
        </w:rPr>
        <w:t xml:space="preserve"> </w:t>
      </w:r>
      <w:r w:rsidR="008D7DAF">
        <w:rPr>
          <w:rFonts w:cstheme="minorHAnsi"/>
          <w:sz w:val="24"/>
          <w:szCs w:val="24"/>
        </w:rPr>
        <w:t>revealed</w:t>
      </w:r>
      <w:r w:rsidR="0095288C" w:rsidRPr="00C95B42">
        <w:rPr>
          <w:rFonts w:cstheme="minorHAnsi"/>
          <w:sz w:val="24"/>
          <w:szCs w:val="24"/>
        </w:rPr>
        <w:t xml:space="preserve"> how the complex needs of people using substances at end of life were </w:t>
      </w:r>
      <w:r w:rsidR="001A0B42">
        <w:rPr>
          <w:rFonts w:cstheme="minorHAnsi"/>
          <w:sz w:val="24"/>
          <w:szCs w:val="24"/>
        </w:rPr>
        <w:t xml:space="preserve">often unmet due to </w:t>
      </w:r>
      <w:r w:rsidR="0095288C" w:rsidRPr="00C95B42">
        <w:rPr>
          <w:rFonts w:cstheme="minorHAnsi"/>
          <w:sz w:val="24"/>
          <w:szCs w:val="24"/>
        </w:rPr>
        <w:t>professional boundary concerns and the lack of cross</w:t>
      </w:r>
      <w:r w:rsidR="000E31D2">
        <w:rPr>
          <w:rFonts w:cstheme="minorHAnsi"/>
          <w:sz w:val="24"/>
          <w:szCs w:val="24"/>
        </w:rPr>
        <w:t>-</w:t>
      </w:r>
      <w:r w:rsidR="0095288C" w:rsidRPr="00C95B42">
        <w:rPr>
          <w:rFonts w:cstheme="minorHAnsi"/>
          <w:sz w:val="24"/>
          <w:szCs w:val="24"/>
        </w:rPr>
        <w:t xml:space="preserve">agency working. </w:t>
      </w:r>
      <w:r w:rsidR="00AE584C">
        <w:rPr>
          <w:rFonts w:cstheme="minorHAnsi"/>
          <w:sz w:val="24"/>
          <w:szCs w:val="24"/>
        </w:rPr>
        <w:t xml:space="preserve">Existing end-of-life care provision </w:t>
      </w:r>
      <w:r w:rsidR="00AE584C" w:rsidRPr="00C95B42">
        <w:rPr>
          <w:rFonts w:cstheme="minorHAnsi"/>
          <w:sz w:val="24"/>
          <w:szCs w:val="24"/>
        </w:rPr>
        <w:t>place</w:t>
      </w:r>
      <w:r w:rsidR="00AE584C">
        <w:rPr>
          <w:rFonts w:cstheme="minorHAnsi"/>
          <w:sz w:val="24"/>
          <w:szCs w:val="24"/>
        </w:rPr>
        <w:t>d</w:t>
      </w:r>
      <w:r w:rsidR="00AE584C" w:rsidRPr="00C95B42">
        <w:rPr>
          <w:rFonts w:cstheme="minorHAnsi"/>
          <w:sz w:val="24"/>
          <w:szCs w:val="24"/>
        </w:rPr>
        <w:t xml:space="preserve"> </w:t>
      </w:r>
      <w:r w:rsidR="00AE584C">
        <w:rPr>
          <w:rFonts w:cstheme="minorHAnsi"/>
          <w:sz w:val="24"/>
          <w:szCs w:val="24"/>
        </w:rPr>
        <w:t xml:space="preserve">unwanted </w:t>
      </w:r>
      <w:r w:rsidR="00AE584C" w:rsidRPr="00C95B42">
        <w:rPr>
          <w:rFonts w:cstheme="minorHAnsi"/>
          <w:sz w:val="24"/>
          <w:szCs w:val="24"/>
        </w:rPr>
        <w:t xml:space="preserve">restrictions on </w:t>
      </w:r>
      <w:r w:rsidR="00AE584C">
        <w:rPr>
          <w:rFonts w:cstheme="minorHAnsi"/>
          <w:sz w:val="24"/>
          <w:szCs w:val="24"/>
        </w:rPr>
        <w:t>people using substances, meaning that their wishes were not met</w:t>
      </w:r>
      <w:r w:rsidR="00AE584C" w:rsidRPr="00C95B42">
        <w:rPr>
          <w:rFonts w:cstheme="minorHAnsi"/>
          <w:sz w:val="24"/>
          <w:szCs w:val="24"/>
        </w:rPr>
        <w:t>.</w:t>
      </w:r>
      <w:r w:rsidR="00AE584C">
        <w:rPr>
          <w:rFonts w:cstheme="minorHAnsi"/>
          <w:sz w:val="24"/>
          <w:szCs w:val="24"/>
        </w:rPr>
        <w:t xml:space="preserve"> </w:t>
      </w:r>
      <w:r w:rsidR="0095288C" w:rsidRPr="00C95B42">
        <w:rPr>
          <w:rFonts w:cstheme="minorHAnsi"/>
          <w:sz w:val="24"/>
          <w:szCs w:val="24"/>
        </w:rPr>
        <w:t xml:space="preserve">The lack of </w:t>
      </w:r>
      <w:r w:rsidR="00B574F7">
        <w:rPr>
          <w:rFonts w:cstheme="minorHAnsi"/>
          <w:sz w:val="24"/>
          <w:szCs w:val="24"/>
        </w:rPr>
        <w:t xml:space="preserve">both </w:t>
      </w:r>
      <w:r w:rsidR="0095288C" w:rsidRPr="00C95B42">
        <w:rPr>
          <w:rFonts w:cstheme="minorHAnsi"/>
          <w:sz w:val="24"/>
          <w:szCs w:val="24"/>
        </w:rPr>
        <w:t>suitable training for staff</w:t>
      </w:r>
      <w:r w:rsidR="00B574F7">
        <w:rPr>
          <w:rFonts w:cstheme="minorHAnsi"/>
          <w:sz w:val="24"/>
          <w:szCs w:val="24"/>
        </w:rPr>
        <w:t xml:space="preserve"> and any </w:t>
      </w:r>
      <w:r w:rsidR="00F22A34">
        <w:rPr>
          <w:rFonts w:cstheme="minorHAnsi"/>
          <w:sz w:val="24"/>
          <w:szCs w:val="24"/>
        </w:rPr>
        <w:t xml:space="preserve">specialist </w:t>
      </w:r>
      <w:r w:rsidR="0095288C" w:rsidRPr="00C95B42">
        <w:rPr>
          <w:rFonts w:cstheme="minorHAnsi"/>
          <w:sz w:val="24"/>
          <w:szCs w:val="24"/>
        </w:rPr>
        <w:t xml:space="preserve">accommodation to </w:t>
      </w:r>
      <w:r w:rsidR="00F22A34">
        <w:rPr>
          <w:rFonts w:cstheme="minorHAnsi"/>
          <w:sz w:val="24"/>
          <w:szCs w:val="24"/>
        </w:rPr>
        <w:t xml:space="preserve">support choices about </w:t>
      </w:r>
      <w:r w:rsidR="0095288C" w:rsidRPr="00C95B42">
        <w:rPr>
          <w:rFonts w:cstheme="minorHAnsi"/>
          <w:sz w:val="24"/>
          <w:szCs w:val="24"/>
        </w:rPr>
        <w:t>place of death creat</w:t>
      </w:r>
      <w:r w:rsidR="00074489">
        <w:rPr>
          <w:rFonts w:cstheme="minorHAnsi"/>
          <w:sz w:val="24"/>
          <w:szCs w:val="24"/>
        </w:rPr>
        <w:t>ed</w:t>
      </w:r>
      <w:r w:rsidR="0095288C" w:rsidRPr="00C95B42">
        <w:rPr>
          <w:rFonts w:cstheme="minorHAnsi"/>
          <w:sz w:val="24"/>
          <w:szCs w:val="24"/>
        </w:rPr>
        <w:t xml:space="preserve"> moral challenges for service providers</w:t>
      </w:r>
      <w:r w:rsidR="00EC53AE">
        <w:rPr>
          <w:rFonts w:cstheme="minorHAnsi"/>
          <w:sz w:val="24"/>
          <w:szCs w:val="24"/>
        </w:rPr>
        <w:t>.</w:t>
      </w:r>
    </w:p>
    <w:p w14:paraId="4F785D34" w14:textId="733554E7" w:rsidR="00AC3A3C" w:rsidRDefault="00074489" w:rsidP="000E31D2">
      <w:pPr>
        <w:spacing w:after="0" w:line="240" w:lineRule="auto"/>
        <w:rPr>
          <w:rFonts w:cstheme="minorHAnsi"/>
          <w:sz w:val="24"/>
          <w:szCs w:val="24"/>
        </w:rPr>
      </w:pPr>
      <w:r>
        <w:rPr>
          <w:rFonts w:cstheme="minorHAnsi"/>
          <w:sz w:val="24"/>
          <w:szCs w:val="24"/>
        </w:rPr>
        <w:t xml:space="preserve"> </w:t>
      </w:r>
    </w:p>
    <w:p w14:paraId="08B7F532" w14:textId="4F86D748" w:rsidR="00CD715E" w:rsidRPr="00413BCB" w:rsidRDefault="0095288C" w:rsidP="000E31D2">
      <w:pPr>
        <w:spacing w:after="0" w:line="240" w:lineRule="auto"/>
        <w:rPr>
          <w:rFonts w:cstheme="minorHAnsi"/>
          <w:b/>
          <w:bCs/>
          <w:sz w:val="24"/>
          <w:szCs w:val="24"/>
        </w:rPr>
      </w:pPr>
      <w:r>
        <w:rPr>
          <w:rFonts w:cstheme="minorHAnsi"/>
          <w:b/>
          <w:bCs/>
          <w:i/>
          <w:iCs/>
          <w:sz w:val="24"/>
          <w:szCs w:val="24"/>
        </w:rPr>
        <w:t xml:space="preserve">Manager interviews: </w:t>
      </w:r>
      <w:r w:rsidR="00594407" w:rsidRPr="00AD528E">
        <w:rPr>
          <w:rFonts w:cstheme="minorHAnsi"/>
          <w:sz w:val="24"/>
          <w:szCs w:val="24"/>
        </w:rPr>
        <w:t>With a</w:t>
      </w:r>
      <w:r w:rsidR="00594407">
        <w:rPr>
          <w:rFonts w:cstheme="minorHAnsi"/>
          <w:b/>
          <w:bCs/>
          <w:sz w:val="24"/>
          <w:szCs w:val="24"/>
        </w:rPr>
        <w:t xml:space="preserve"> </w:t>
      </w:r>
      <w:r w:rsidR="00AD528E">
        <w:rPr>
          <w:rFonts w:cstheme="minorHAnsi"/>
          <w:sz w:val="24"/>
          <w:szCs w:val="24"/>
        </w:rPr>
        <w:t xml:space="preserve">common </w:t>
      </w:r>
      <w:r w:rsidR="00B133DD" w:rsidRPr="00C95B42">
        <w:rPr>
          <w:rFonts w:cstheme="minorHAnsi"/>
          <w:sz w:val="24"/>
          <w:szCs w:val="24"/>
        </w:rPr>
        <w:t xml:space="preserve">goal </w:t>
      </w:r>
      <w:r w:rsidR="00AD528E">
        <w:rPr>
          <w:rFonts w:cstheme="minorHAnsi"/>
          <w:sz w:val="24"/>
          <w:szCs w:val="24"/>
        </w:rPr>
        <w:t xml:space="preserve">of </w:t>
      </w:r>
      <w:r w:rsidR="00B133DD" w:rsidRPr="00C95B42">
        <w:rPr>
          <w:rFonts w:cstheme="minorHAnsi"/>
          <w:sz w:val="24"/>
          <w:szCs w:val="24"/>
        </w:rPr>
        <w:t>support</w:t>
      </w:r>
      <w:r w:rsidR="00AD528E">
        <w:rPr>
          <w:rFonts w:cstheme="minorHAnsi"/>
          <w:sz w:val="24"/>
          <w:szCs w:val="24"/>
        </w:rPr>
        <w:t>ing</w:t>
      </w:r>
      <w:r w:rsidR="00B133DD" w:rsidRPr="00C95B42">
        <w:rPr>
          <w:rFonts w:cstheme="minorHAnsi"/>
          <w:sz w:val="24"/>
          <w:szCs w:val="24"/>
        </w:rPr>
        <w:t xml:space="preserve"> people </w:t>
      </w:r>
      <w:r w:rsidR="00AD528E">
        <w:rPr>
          <w:rFonts w:cstheme="minorHAnsi"/>
          <w:sz w:val="24"/>
          <w:szCs w:val="24"/>
        </w:rPr>
        <w:t xml:space="preserve">to </w:t>
      </w:r>
      <w:r w:rsidR="00B133DD" w:rsidRPr="00C95B42">
        <w:rPr>
          <w:rFonts w:cstheme="minorHAnsi"/>
          <w:sz w:val="24"/>
          <w:szCs w:val="24"/>
        </w:rPr>
        <w:t>d</w:t>
      </w:r>
      <w:r w:rsidR="00AD528E">
        <w:rPr>
          <w:rFonts w:cstheme="minorHAnsi"/>
          <w:sz w:val="24"/>
          <w:szCs w:val="24"/>
        </w:rPr>
        <w:t xml:space="preserve">ie </w:t>
      </w:r>
      <w:r w:rsidR="00B133DD" w:rsidRPr="00C95B42">
        <w:rPr>
          <w:rFonts w:cstheme="minorHAnsi"/>
          <w:sz w:val="24"/>
          <w:szCs w:val="24"/>
        </w:rPr>
        <w:t>with dignity</w:t>
      </w:r>
      <w:r w:rsidR="00AD528E">
        <w:rPr>
          <w:rFonts w:cstheme="minorHAnsi"/>
          <w:sz w:val="24"/>
          <w:szCs w:val="24"/>
        </w:rPr>
        <w:t>, t</w:t>
      </w:r>
      <w:r w:rsidR="00AD528E" w:rsidRPr="00E83444">
        <w:rPr>
          <w:rFonts w:cstheme="minorHAnsi"/>
          <w:sz w:val="24"/>
          <w:szCs w:val="24"/>
        </w:rPr>
        <w:t>hese</w:t>
      </w:r>
      <w:r w:rsidR="00AD528E">
        <w:rPr>
          <w:rFonts w:cstheme="minorHAnsi"/>
          <w:b/>
          <w:bCs/>
          <w:i/>
          <w:iCs/>
          <w:sz w:val="24"/>
          <w:szCs w:val="24"/>
        </w:rPr>
        <w:t xml:space="preserve"> </w:t>
      </w:r>
      <w:r w:rsidR="00C2344B" w:rsidRPr="00C2344B">
        <w:rPr>
          <w:rFonts w:cstheme="minorHAnsi"/>
          <w:sz w:val="24"/>
          <w:szCs w:val="24"/>
        </w:rPr>
        <w:t>interviews</w:t>
      </w:r>
      <w:r w:rsidR="00C2344B">
        <w:rPr>
          <w:rFonts w:cstheme="minorHAnsi"/>
          <w:b/>
          <w:bCs/>
          <w:sz w:val="24"/>
          <w:szCs w:val="24"/>
        </w:rPr>
        <w:t xml:space="preserve"> </w:t>
      </w:r>
      <w:r w:rsidR="00AD528E" w:rsidRPr="00CD715E">
        <w:rPr>
          <w:rFonts w:cstheme="minorHAnsi"/>
          <w:sz w:val="24"/>
          <w:szCs w:val="24"/>
        </w:rPr>
        <w:t>r</w:t>
      </w:r>
      <w:r w:rsidR="00AD528E">
        <w:rPr>
          <w:rFonts w:cstheme="minorHAnsi"/>
          <w:sz w:val="24"/>
          <w:szCs w:val="24"/>
        </w:rPr>
        <w:t>evealed</w:t>
      </w:r>
      <w:r w:rsidR="00B133DD" w:rsidRPr="00C95B42">
        <w:rPr>
          <w:rFonts w:cstheme="minorHAnsi"/>
          <w:sz w:val="24"/>
          <w:szCs w:val="24"/>
        </w:rPr>
        <w:t xml:space="preserve"> </w:t>
      </w:r>
      <w:r w:rsidR="006C3E10">
        <w:rPr>
          <w:rFonts w:cstheme="minorHAnsi"/>
          <w:sz w:val="24"/>
          <w:szCs w:val="24"/>
        </w:rPr>
        <w:t xml:space="preserve">that </w:t>
      </w:r>
      <w:r w:rsidR="006C3E10" w:rsidRPr="00C95B42">
        <w:rPr>
          <w:rFonts w:cstheme="minorHAnsi"/>
          <w:sz w:val="24"/>
          <w:szCs w:val="24"/>
        </w:rPr>
        <w:t xml:space="preserve">more </w:t>
      </w:r>
      <w:r w:rsidR="0078088C">
        <w:rPr>
          <w:rFonts w:cstheme="minorHAnsi"/>
          <w:sz w:val="24"/>
          <w:szCs w:val="24"/>
        </w:rPr>
        <w:t xml:space="preserve">needed to </w:t>
      </w:r>
      <w:r w:rsidR="006C3E10" w:rsidRPr="00C95B42">
        <w:rPr>
          <w:rFonts w:cstheme="minorHAnsi"/>
          <w:sz w:val="24"/>
          <w:szCs w:val="24"/>
        </w:rPr>
        <w:t>be done</w:t>
      </w:r>
      <w:r w:rsidR="001022C0">
        <w:rPr>
          <w:rFonts w:cstheme="minorHAnsi"/>
          <w:sz w:val="24"/>
          <w:szCs w:val="24"/>
        </w:rPr>
        <w:t xml:space="preserve"> at an earlier stage</w:t>
      </w:r>
      <w:r w:rsidR="006C3E10" w:rsidRPr="00C95B42">
        <w:rPr>
          <w:rFonts w:cstheme="minorHAnsi"/>
          <w:sz w:val="24"/>
          <w:szCs w:val="24"/>
        </w:rPr>
        <w:t xml:space="preserve"> </w:t>
      </w:r>
      <w:r w:rsidR="00AD528E">
        <w:rPr>
          <w:rFonts w:cstheme="minorHAnsi"/>
          <w:sz w:val="24"/>
          <w:szCs w:val="24"/>
        </w:rPr>
        <w:t>to</w:t>
      </w:r>
      <w:r w:rsidR="006C3E10" w:rsidRPr="00C95B42">
        <w:rPr>
          <w:rFonts w:cstheme="minorHAnsi"/>
          <w:sz w:val="24"/>
          <w:szCs w:val="24"/>
        </w:rPr>
        <w:t xml:space="preserve"> identify people </w:t>
      </w:r>
      <w:r w:rsidR="0078088C">
        <w:rPr>
          <w:rFonts w:cstheme="minorHAnsi"/>
          <w:sz w:val="24"/>
          <w:szCs w:val="24"/>
        </w:rPr>
        <w:t xml:space="preserve">with advancing ill-health </w:t>
      </w:r>
      <w:r w:rsidR="006C3E10" w:rsidRPr="00C95B42">
        <w:rPr>
          <w:rFonts w:cstheme="minorHAnsi"/>
          <w:sz w:val="24"/>
          <w:szCs w:val="24"/>
        </w:rPr>
        <w:t xml:space="preserve">and </w:t>
      </w:r>
      <w:r w:rsidR="00B17881">
        <w:rPr>
          <w:rFonts w:cstheme="minorHAnsi"/>
          <w:sz w:val="24"/>
          <w:szCs w:val="24"/>
        </w:rPr>
        <w:t>support</w:t>
      </w:r>
      <w:r w:rsidR="006C3E10">
        <w:rPr>
          <w:rFonts w:cstheme="minorHAnsi"/>
          <w:sz w:val="24"/>
          <w:szCs w:val="24"/>
        </w:rPr>
        <w:t xml:space="preserve"> sensitive conversations</w:t>
      </w:r>
      <w:r w:rsidR="00B17881">
        <w:rPr>
          <w:rFonts w:cstheme="minorHAnsi"/>
          <w:sz w:val="24"/>
          <w:szCs w:val="24"/>
        </w:rPr>
        <w:t xml:space="preserve"> with them</w:t>
      </w:r>
      <w:r w:rsidR="0078088C">
        <w:rPr>
          <w:rFonts w:cstheme="minorHAnsi"/>
          <w:sz w:val="24"/>
          <w:szCs w:val="24"/>
        </w:rPr>
        <w:t xml:space="preserve"> about their future care</w:t>
      </w:r>
      <w:r w:rsidR="006C3E10" w:rsidRPr="00C95B42">
        <w:rPr>
          <w:rFonts w:cstheme="minorHAnsi"/>
          <w:sz w:val="24"/>
          <w:szCs w:val="24"/>
        </w:rPr>
        <w:t>.</w:t>
      </w:r>
      <w:r w:rsidR="006C3E10">
        <w:rPr>
          <w:rFonts w:cstheme="minorHAnsi"/>
          <w:sz w:val="24"/>
          <w:szCs w:val="24"/>
        </w:rPr>
        <w:t xml:space="preserve"> </w:t>
      </w:r>
      <w:r w:rsidR="00303A72">
        <w:rPr>
          <w:rFonts w:cstheme="minorHAnsi"/>
          <w:sz w:val="24"/>
          <w:szCs w:val="24"/>
        </w:rPr>
        <w:t xml:space="preserve">Action is needed to </w:t>
      </w:r>
      <w:proofErr w:type="gramStart"/>
      <w:r w:rsidR="00303A72">
        <w:rPr>
          <w:rFonts w:cstheme="minorHAnsi"/>
          <w:sz w:val="24"/>
          <w:szCs w:val="24"/>
        </w:rPr>
        <w:t>develop</w:t>
      </w:r>
      <w:r w:rsidR="00CD715E">
        <w:rPr>
          <w:rFonts w:cstheme="minorHAnsi"/>
          <w:sz w:val="24"/>
          <w:szCs w:val="24"/>
        </w:rPr>
        <w:t>:</w:t>
      </w:r>
      <w:proofErr w:type="gramEnd"/>
      <w:r w:rsidR="00CD715E" w:rsidRPr="00C95B42">
        <w:rPr>
          <w:rFonts w:cstheme="minorHAnsi"/>
          <w:sz w:val="24"/>
          <w:szCs w:val="24"/>
        </w:rPr>
        <w:t xml:space="preserve"> routine questioning</w:t>
      </w:r>
      <w:r w:rsidR="00CD715E">
        <w:rPr>
          <w:rFonts w:cstheme="minorHAnsi"/>
          <w:sz w:val="24"/>
          <w:szCs w:val="24"/>
        </w:rPr>
        <w:t>;</w:t>
      </w:r>
      <w:r w:rsidR="00CD715E" w:rsidRPr="00C95B42">
        <w:rPr>
          <w:rFonts w:cstheme="minorHAnsi"/>
          <w:sz w:val="24"/>
          <w:szCs w:val="24"/>
        </w:rPr>
        <w:t xml:space="preserve"> </w:t>
      </w:r>
      <w:r w:rsidR="00CD715E">
        <w:rPr>
          <w:rFonts w:cstheme="minorHAnsi"/>
          <w:sz w:val="24"/>
          <w:szCs w:val="24"/>
        </w:rPr>
        <w:t xml:space="preserve">integrated </w:t>
      </w:r>
      <w:r w:rsidR="00CD715E" w:rsidRPr="00C95B42">
        <w:rPr>
          <w:rFonts w:cstheme="minorHAnsi"/>
          <w:sz w:val="24"/>
          <w:szCs w:val="24"/>
        </w:rPr>
        <w:t>care pathways between agencies</w:t>
      </w:r>
      <w:r w:rsidR="00CD715E">
        <w:rPr>
          <w:rFonts w:cstheme="minorHAnsi"/>
          <w:sz w:val="24"/>
          <w:szCs w:val="24"/>
        </w:rPr>
        <w:t xml:space="preserve">; </w:t>
      </w:r>
      <w:r w:rsidR="00CD715E" w:rsidRPr="00C95B42">
        <w:rPr>
          <w:rFonts w:cstheme="minorHAnsi"/>
          <w:sz w:val="24"/>
          <w:szCs w:val="24"/>
        </w:rPr>
        <w:t xml:space="preserve">specialist roles to support people and </w:t>
      </w:r>
      <w:r w:rsidR="002B09E8">
        <w:rPr>
          <w:rFonts w:cstheme="minorHAnsi"/>
          <w:sz w:val="24"/>
          <w:szCs w:val="24"/>
        </w:rPr>
        <w:t xml:space="preserve">link </w:t>
      </w:r>
      <w:r w:rsidR="00CD715E" w:rsidRPr="00C95B42">
        <w:rPr>
          <w:rFonts w:cstheme="minorHAnsi"/>
          <w:sz w:val="24"/>
          <w:szCs w:val="24"/>
        </w:rPr>
        <w:t>services</w:t>
      </w:r>
      <w:r w:rsidR="00CD715E">
        <w:rPr>
          <w:rFonts w:cstheme="minorHAnsi"/>
          <w:sz w:val="24"/>
          <w:szCs w:val="24"/>
        </w:rPr>
        <w:t xml:space="preserve">; </w:t>
      </w:r>
      <w:r w:rsidR="00CD715E" w:rsidRPr="00C95B42">
        <w:rPr>
          <w:rFonts w:cstheme="minorHAnsi"/>
          <w:sz w:val="24"/>
          <w:szCs w:val="24"/>
        </w:rPr>
        <w:t>specialist supported accommodation</w:t>
      </w:r>
      <w:r w:rsidR="00CD715E">
        <w:rPr>
          <w:rFonts w:cstheme="minorHAnsi"/>
          <w:sz w:val="24"/>
          <w:szCs w:val="24"/>
        </w:rPr>
        <w:t>;</w:t>
      </w:r>
      <w:r w:rsidR="00CD715E" w:rsidRPr="00C95B42">
        <w:rPr>
          <w:rFonts w:cstheme="minorHAnsi"/>
          <w:sz w:val="24"/>
          <w:szCs w:val="24"/>
        </w:rPr>
        <w:t xml:space="preserve"> </w:t>
      </w:r>
      <w:r w:rsidR="00CD715E">
        <w:rPr>
          <w:rFonts w:cstheme="minorHAnsi"/>
          <w:sz w:val="24"/>
          <w:szCs w:val="24"/>
        </w:rPr>
        <w:t xml:space="preserve">substance use specific </w:t>
      </w:r>
      <w:r w:rsidR="00CD715E" w:rsidRPr="00C95B42">
        <w:rPr>
          <w:rFonts w:cstheme="minorHAnsi"/>
          <w:sz w:val="24"/>
          <w:szCs w:val="24"/>
        </w:rPr>
        <w:t xml:space="preserve">family support </w:t>
      </w:r>
      <w:r w:rsidR="00F51A3C">
        <w:rPr>
          <w:rFonts w:cstheme="minorHAnsi"/>
          <w:sz w:val="24"/>
          <w:szCs w:val="24"/>
        </w:rPr>
        <w:t xml:space="preserve">(needed to </w:t>
      </w:r>
      <w:r w:rsidR="00CD715E">
        <w:rPr>
          <w:rFonts w:cstheme="minorHAnsi"/>
          <w:sz w:val="24"/>
          <w:szCs w:val="24"/>
        </w:rPr>
        <w:t xml:space="preserve">counter </w:t>
      </w:r>
      <w:r w:rsidR="00CD715E" w:rsidRPr="00C95B42">
        <w:rPr>
          <w:rFonts w:cstheme="minorHAnsi"/>
          <w:sz w:val="24"/>
          <w:szCs w:val="24"/>
        </w:rPr>
        <w:t>stigma</w:t>
      </w:r>
      <w:r w:rsidR="00F51A3C">
        <w:rPr>
          <w:rFonts w:cstheme="minorHAnsi"/>
          <w:sz w:val="24"/>
          <w:szCs w:val="24"/>
        </w:rPr>
        <w:t>)</w:t>
      </w:r>
      <w:r w:rsidR="00CD715E" w:rsidRPr="00C95B42">
        <w:rPr>
          <w:rFonts w:cstheme="minorHAnsi"/>
          <w:sz w:val="24"/>
          <w:szCs w:val="24"/>
        </w:rPr>
        <w:t xml:space="preserve"> and </w:t>
      </w:r>
      <w:r w:rsidR="007127FA">
        <w:rPr>
          <w:rFonts w:cstheme="minorHAnsi"/>
          <w:sz w:val="24"/>
          <w:szCs w:val="24"/>
        </w:rPr>
        <w:t xml:space="preserve">staff </w:t>
      </w:r>
      <w:r w:rsidR="00CD715E" w:rsidRPr="00C95B42">
        <w:rPr>
          <w:rFonts w:cstheme="minorHAnsi"/>
          <w:sz w:val="24"/>
          <w:szCs w:val="24"/>
        </w:rPr>
        <w:t>training</w:t>
      </w:r>
      <w:r w:rsidR="007127FA">
        <w:rPr>
          <w:rFonts w:cstheme="minorHAnsi"/>
          <w:sz w:val="24"/>
          <w:szCs w:val="24"/>
        </w:rPr>
        <w:t xml:space="preserve"> </w:t>
      </w:r>
      <w:r w:rsidR="00CD715E">
        <w:rPr>
          <w:rFonts w:cstheme="minorHAnsi"/>
          <w:sz w:val="24"/>
          <w:szCs w:val="24"/>
        </w:rPr>
        <w:t xml:space="preserve">(for example on: terminal </w:t>
      </w:r>
      <w:r w:rsidR="00CD715E" w:rsidRPr="00C95B42">
        <w:rPr>
          <w:rFonts w:cstheme="minorHAnsi"/>
          <w:sz w:val="24"/>
          <w:szCs w:val="24"/>
        </w:rPr>
        <w:t>health conditions</w:t>
      </w:r>
      <w:r w:rsidR="00CD715E">
        <w:rPr>
          <w:rFonts w:cstheme="minorHAnsi"/>
          <w:sz w:val="24"/>
          <w:szCs w:val="24"/>
        </w:rPr>
        <w:t>,</w:t>
      </w:r>
      <w:r w:rsidR="00CD715E" w:rsidRPr="00C95B42">
        <w:rPr>
          <w:rFonts w:cstheme="minorHAnsi"/>
          <w:sz w:val="24"/>
          <w:szCs w:val="24"/>
        </w:rPr>
        <w:t xml:space="preserve"> having conversations about end of life wishes</w:t>
      </w:r>
      <w:r w:rsidR="00CD715E">
        <w:rPr>
          <w:rFonts w:cstheme="minorHAnsi"/>
          <w:sz w:val="24"/>
          <w:szCs w:val="24"/>
        </w:rPr>
        <w:t>,</w:t>
      </w:r>
      <w:r w:rsidR="00CD715E" w:rsidRPr="00C95B42">
        <w:rPr>
          <w:rFonts w:cstheme="minorHAnsi"/>
          <w:sz w:val="24"/>
          <w:szCs w:val="24"/>
        </w:rPr>
        <w:t xml:space="preserve"> Advance Care Planning and supporting people who want to continue using</w:t>
      </w:r>
      <w:r w:rsidR="00CD715E">
        <w:rPr>
          <w:rFonts w:cstheme="minorHAnsi"/>
          <w:sz w:val="24"/>
          <w:szCs w:val="24"/>
        </w:rPr>
        <w:t xml:space="preserve"> substances)</w:t>
      </w:r>
      <w:r w:rsidR="00CD715E" w:rsidRPr="00C95B42">
        <w:rPr>
          <w:rFonts w:cstheme="minorHAnsi"/>
          <w:sz w:val="24"/>
          <w:szCs w:val="24"/>
        </w:rPr>
        <w:t xml:space="preserve">. There was clear agreement that </w:t>
      </w:r>
      <w:r w:rsidR="001022C0">
        <w:rPr>
          <w:rFonts w:cstheme="minorHAnsi"/>
          <w:sz w:val="24"/>
          <w:szCs w:val="24"/>
        </w:rPr>
        <w:t>d</w:t>
      </w:r>
      <w:r w:rsidR="001022C0" w:rsidRPr="00C95B42">
        <w:rPr>
          <w:rFonts w:cstheme="minorHAnsi"/>
          <w:sz w:val="24"/>
          <w:szCs w:val="24"/>
        </w:rPr>
        <w:t xml:space="preserve">ying </w:t>
      </w:r>
      <w:r w:rsidR="00CD715E" w:rsidRPr="00C95B42">
        <w:rPr>
          <w:rFonts w:cstheme="minorHAnsi"/>
          <w:sz w:val="24"/>
          <w:szCs w:val="24"/>
        </w:rPr>
        <w:t>well involve</w:t>
      </w:r>
      <w:r w:rsidR="00E26430">
        <w:rPr>
          <w:rFonts w:cstheme="minorHAnsi"/>
          <w:sz w:val="24"/>
          <w:szCs w:val="24"/>
        </w:rPr>
        <w:t>s</w:t>
      </w:r>
      <w:r w:rsidR="00CD715E" w:rsidRPr="00C95B42">
        <w:rPr>
          <w:rFonts w:cstheme="minorHAnsi"/>
          <w:sz w:val="24"/>
          <w:szCs w:val="24"/>
        </w:rPr>
        <w:t xml:space="preserve"> respecting </w:t>
      </w:r>
      <w:r w:rsidR="00E26430">
        <w:rPr>
          <w:rFonts w:cstheme="minorHAnsi"/>
          <w:sz w:val="24"/>
          <w:szCs w:val="24"/>
        </w:rPr>
        <w:t xml:space="preserve">a </w:t>
      </w:r>
      <w:r w:rsidR="00CD715E" w:rsidRPr="00C95B42">
        <w:rPr>
          <w:rFonts w:cstheme="minorHAnsi"/>
          <w:sz w:val="24"/>
          <w:szCs w:val="24"/>
        </w:rPr>
        <w:t>person’s choices, offering needs-led care</w:t>
      </w:r>
      <w:r w:rsidR="0095456E">
        <w:rPr>
          <w:rFonts w:cstheme="minorHAnsi"/>
          <w:sz w:val="24"/>
          <w:szCs w:val="24"/>
        </w:rPr>
        <w:t>,</w:t>
      </w:r>
      <w:r w:rsidR="00CD715E" w:rsidRPr="00C95B42">
        <w:rPr>
          <w:rFonts w:cstheme="minorHAnsi"/>
          <w:sz w:val="24"/>
          <w:szCs w:val="24"/>
        </w:rPr>
        <w:t xml:space="preserve"> and minimising pain in </w:t>
      </w:r>
      <w:r w:rsidR="00E26430">
        <w:rPr>
          <w:rFonts w:cstheme="minorHAnsi"/>
          <w:sz w:val="24"/>
          <w:szCs w:val="24"/>
        </w:rPr>
        <w:t>the</w:t>
      </w:r>
      <w:r w:rsidR="00CD715E" w:rsidRPr="00C95B42">
        <w:rPr>
          <w:rFonts w:cstheme="minorHAnsi"/>
          <w:sz w:val="24"/>
          <w:szCs w:val="24"/>
        </w:rPr>
        <w:t xml:space="preserve"> environment of the</w:t>
      </w:r>
      <w:r w:rsidR="00E26430">
        <w:rPr>
          <w:rFonts w:cstheme="minorHAnsi"/>
          <w:sz w:val="24"/>
          <w:szCs w:val="24"/>
        </w:rPr>
        <w:t>ir</w:t>
      </w:r>
      <w:r w:rsidR="00CD715E" w:rsidRPr="00C95B42">
        <w:rPr>
          <w:rFonts w:cstheme="minorHAnsi"/>
          <w:sz w:val="24"/>
          <w:szCs w:val="24"/>
        </w:rPr>
        <w:t xml:space="preserve"> choosing </w:t>
      </w:r>
      <w:r w:rsidR="00E26430">
        <w:rPr>
          <w:rFonts w:cstheme="minorHAnsi"/>
          <w:sz w:val="24"/>
          <w:szCs w:val="24"/>
        </w:rPr>
        <w:t xml:space="preserve">- </w:t>
      </w:r>
      <w:r w:rsidR="00CD715E" w:rsidRPr="00C95B42">
        <w:rPr>
          <w:rFonts w:cstheme="minorHAnsi"/>
          <w:sz w:val="24"/>
          <w:szCs w:val="24"/>
        </w:rPr>
        <w:t>rather than hospital settings</w:t>
      </w:r>
      <w:r w:rsidR="00972CE4">
        <w:rPr>
          <w:rFonts w:cstheme="minorHAnsi"/>
          <w:sz w:val="24"/>
          <w:szCs w:val="24"/>
        </w:rPr>
        <w:t xml:space="preserve"> where ongoing substance </w:t>
      </w:r>
      <w:proofErr w:type="gramStart"/>
      <w:r w:rsidR="00972CE4">
        <w:rPr>
          <w:rFonts w:cstheme="minorHAnsi"/>
          <w:sz w:val="24"/>
          <w:szCs w:val="24"/>
        </w:rPr>
        <w:t>use</w:t>
      </w:r>
      <w:proofErr w:type="gramEnd"/>
      <w:r w:rsidR="00972CE4">
        <w:rPr>
          <w:rFonts w:cstheme="minorHAnsi"/>
          <w:sz w:val="24"/>
          <w:szCs w:val="24"/>
        </w:rPr>
        <w:t xml:space="preserve"> and intoxication is not tolerated</w:t>
      </w:r>
      <w:r w:rsidR="00CD715E" w:rsidRPr="00C95B42">
        <w:rPr>
          <w:rFonts w:cstheme="minorHAnsi"/>
          <w:sz w:val="24"/>
          <w:szCs w:val="24"/>
        </w:rPr>
        <w:t>.</w:t>
      </w:r>
    </w:p>
    <w:p w14:paraId="0D1487B9" w14:textId="77777777" w:rsidR="000E31D2" w:rsidRDefault="000E31D2" w:rsidP="000E31D2">
      <w:pPr>
        <w:spacing w:after="0" w:line="240" w:lineRule="auto"/>
        <w:rPr>
          <w:rFonts w:ascii="Calibri" w:eastAsiaTheme="majorEastAsia" w:hAnsi="Calibri"/>
          <w:b/>
          <w:bCs/>
          <w:i/>
          <w:iCs/>
          <w:sz w:val="24"/>
          <w:szCs w:val="24"/>
        </w:rPr>
      </w:pPr>
    </w:p>
    <w:p w14:paraId="0EED1F41" w14:textId="2F593A0B" w:rsidR="00A54F9F" w:rsidRDefault="00A54F9F" w:rsidP="000E31D2">
      <w:pPr>
        <w:spacing w:after="0" w:line="240" w:lineRule="auto"/>
        <w:rPr>
          <w:rFonts w:cstheme="minorHAnsi"/>
          <w:sz w:val="24"/>
          <w:szCs w:val="24"/>
        </w:rPr>
      </w:pPr>
      <w:r>
        <w:rPr>
          <w:rFonts w:ascii="Calibri" w:eastAsiaTheme="majorEastAsia" w:hAnsi="Calibri"/>
          <w:b/>
          <w:bCs/>
          <w:i/>
          <w:iCs/>
          <w:sz w:val="24"/>
          <w:szCs w:val="24"/>
        </w:rPr>
        <w:t xml:space="preserve">Practitioner </w:t>
      </w:r>
      <w:r w:rsidRPr="00AC3A3C">
        <w:rPr>
          <w:rFonts w:ascii="Calibri" w:eastAsiaTheme="majorEastAsia" w:hAnsi="Calibri"/>
          <w:b/>
          <w:bCs/>
          <w:i/>
          <w:iCs/>
          <w:sz w:val="24"/>
          <w:szCs w:val="24"/>
        </w:rPr>
        <w:t>survey</w:t>
      </w:r>
      <w:r w:rsidR="00DE738A">
        <w:rPr>
          <w:rFonts w:ascii="Calibri" w:eastAsiaTheme="majorEastAsia" w:hAnsi="Calibri"/>
          <w:b/>
          <w:bCs/>
          <w:i/>
          <w:iCs/>
          <w:sz w:val="24"/>
          <w:szCs w:val="24"/>
        </w:rPr>
        <w:t>s</w:t>
      </w:r>
      <w:r w:rsidRPr="00AC3A3C">
        <w:rPr>
          <w:rFonts w:ascii="Calibri" w:eastAsiaTheme="majorEastAsia" w:hAnsi="Calibri"/>
          <w:b/>
          <w:bCs/>
          <w:i/>
          <w:iCs/>
          <w:sz w:val="24"/>
          <w:szCs w:val="24"/>
        </w:rPr>
        <w:t>:</w:t>
      </w:r>
      <w:r>
        <w:rPr>
          <w:rFonts w:ascii="Calibri" w:eastAsiaTheme="majorEastAsia" w:hAnsi="Calibri"/>
          <w:b/>
          <w:bCs/>
          <w:i/>
          <w:iCs/>
          <w:sz w:val="24"/>
          <w:szCs w:val="24"/>
        </w:rPr>
        <w:t xml:space="preserve"> </w:t>
      </w:r>
      <w:r w:rsidR="00DE738A" w:rsidRPr="00B01603">
        <w:rPr>
          <w:rFonts w:ascii="Calibri" w:eastAsiaTheme="majorEastAsia" w:hAnsi="Calibri"/>
          <w:sz w:val="24"/>
          <w:szCs w:val="24"/>
        </w:rPr>
        <w:t>These</w:t>
      </w:r>
      <w:r w:rsidR="00DE738A">
        <w:rPr>
          <w:rFonts w:ascii="Calibri" w:eastAsiaTheme="majorEastAsia" w:hAnsi="Calibri"/>
          <w:b/>
          <w:bCs/>
          <w:sz w:val="24"/>
          <w:szCs w:val="24"/>
        </w:rPr>
        <w:t xml:space="preserve"> </w:t>
      </w:r>
      <w:r w:rsidR="00DE738A">
        <w:rPr>
          <w:rFonts w:cstheme="minorHAnsi"/>
          <w:sz w:val="24"/>
          <w:szCs w:val="24"/>
        </w:rPr>
        <w:t>revealed</w:t>
      </w:r>
      <w:r w:rsidR="00DE738A" w:rsidRPr="00C95B42">
        <w:rPr>
          <w:rFonts w:cstheme="minorHAnsi"/>
          <w:sz w:val="24"/>
          <w:szCs w:val="24"/>
        </w:rPr>
        <w:t xml:space="preserve"> </w:t>
      </w:r>
      <w:r w:rsidRPr="00C95B42">
        <w:rPr>
          <w:rFonts w:cstheme="minorHAnsi"/>
          <w:sz w:val="24"/>
          <w:szCs w:val="24"/>
        </w:rPr>
        <w:t>difference</w:t>
      </w:r>
      <w:r w:rsidR="00DE738A">
        <w:rPr>
          <w:rFonts w:cstheme="minorHAnsi"/>
          <w:sz w:val="24"/>
          <w:szCs w:val="24"/>
        </w:rPr>
        <w:t>s</w:t>
      </w:r>
      <w:r w:rsidRPr="00C95B42">
        <w:rPr>
          <w:rFonts w:cstheme="minorHAnsi"/>
          <w:sz w:val="24"/>
          <w:szCs w:val="24"/>
        </w:rPr>
        <w:t xml:space="preserve"> in perception of effectiveness of interdisciplinary working and access to palliative care by job role/type of service provider</w:t>
      </w:r>
      <w:r w:rsidR="001E7495">
        <w:rPr>
          <w:rFonts w:cstheme="minorHAnsi"/>
          <w:sz w:val="24"/>
          <w:szCs w:val="24"/>
        </w:rPr>
        <w:t xml:space="preserve">, revealing </w:t>
      </w:r>
      <w:r w:rsidRPr="00C95B42">
        <w:rPr>
          <w:rFonts w:cstheme="minorHAnsi"/>
          <w:sz w:val="24"/>
          <w:szCs w:val="24"/>
        </w:rPr>
        <w:t xml:space="preserve">a degree of silo working and limited care pathways </w:t>
      </w:r>
      <w:r w:rsidR="007C3641">
        <w:rPr>
          <w:rFonts w:cstheme="minorHAnsi"/>
          <w:sz w:val="24"/>
          <w:szCs w:val="24"/>
        </w:rPr>
        <w:t>for social care agencies</w:t>
      </w:r>
      <w:r w:rsidRPr="00C95B42">
        <w:rPr>
          <w:rFonts w:cstheme="minorHAnsi"/>
          <w:sz w:val="24"/>
          <w:szCs w:val="24"/>
        </w:rPr>
        <w:t>.</w:t>
      </w:r>
    </w:p>
    <w:p w14:paraId="5F55231D" w14:textId="77777777" w:rsidR="0095456E" w:rsidRDefault="0095456E" w:rsidP="000E31D2">
      <w:pPr>
        <w:spacing w:after="0" w:line="240" w:lineRule="auto"/>
        <w:rPr>
          <w:rFonts w:cstheme="minorHAnsi"/>
          <w:b/>
          <w:bCs/>
          <w:i/>
          <w:iCs/>
          <w:sz w:val="24"/>
          <w:szCs w:val="24"/>
        </w:rPr>
      </w:pPr>
    </w:p>
    <w:p w14:paraId="6C8A9A2E" w14:textId="673522DF" w:rsidR="00E039E3" w:rsidRPr="00FE2B54" w:rsidRDefault="00B14A17" w:rsidP="000E31D2">
      <w:pPr>
        <w:spacing w:after="0" w:line="240" w:lineRule="auto"/>
        <w:rPr>
          <w:rFonts w:cstheme="minorHAnsi"/>
          <w:sz w:val="24"/>
          <w:szCs w:val="24"/>
        </w:rPr>
      </w:pPr>
      <w:r w:rsidRPr="00FE2B54">
        <w:rPr>
          <w:rFonts w:cstheme="minorHAnsi"/>
          <w:b/>
          <w:bCs/>
          <w:i/>
          <w:iCs/>
          <w:sz w:val="24"/>
          <w:szCs w:val="24"/>
        </w:rPr>
        <w:t xml:space="preserve">Case studies with </w:t>
      </w:r>
      <w:r w:rsidR="00DF2DDA" w:rsidRPr="00FE2B54">
        <w:rPr>
          <w:rFonts w:cstheme="minorHAnsi"/>
          <w:b/>
          <w:bCs/>
          <w:i/>
          <w:iCs/>
          <w:sz w:val="24"/>
          <w:szCs w:val="24"/>
        </w:rPr>
        <w:t>people with experience of substance use and palliative services</w:t>
      </w:r>
      <w:r w:rsidR="00E039E3" w:rsidRPr="00FE2B54">
        <w:rPr>
          <w:rFonts w:cstheme="minorHAnsi"/>
          <w:b/>
          <w:bCs/>
          <w:i/>
          <w:iCs/>
          <w:sz w:val="24"/>
          <w:szCs w:val="24"/>
        </w:rPr>
        <w:t xml:space="preserve">: </w:t>
      </w:r>
      <w:r w:rsidR="002B27E8">
        <w:rPr>
          <w:rFonts w:cstheme="minorHAnsi"/>
          <w:sz w:val="24"/>
          <w:szCs w:val="24"/>
        </w:rPr>
        <w:t>These reveal</w:t>
      </w:r>
      <w:r w:rsidR="00EA28F4">
        <w:rPr>
          <w:rFonts w:cstheme="minorHAnsi"/>
          <w:sz w:val="24"/>
          <w:szCs w:val="24"/>
        </w:rPr>
        <w:t>ed</w:t>
      </w:r>
      <w:r w:rsidR="002B27E8">
        <w:rPr>
          <w:rFonts w:cstheme="minorHAnsi"/>
          <w:sz w:val="24"/>
          <w:szCs w:val="24"/>
        </w:rPr>
        <w:t xml:space="preserve"> people’s lived experiences of </w:t>
      </w:r>
      <w:r w:rsidR="00E039E3" w:rsidRPr="00FE2B54">
        <w:rPr>
          <w:rFonts w:cstheme="minorHAnsi"/>
          <w:sz w:val="24"/>
          <w:szCs w:val="24"/>
        </w:rPr>
        <w:t>being ‘invisible/dismissed’ in dealings with (some) practitioners</w:t>
      </w:r>
      <w:r w:rsidR="00EA28F4">
        <w:rPr>
          <w:rFonts w:cstheme="minorHAnsi"/>
          <w:sz w:val="24"/>
          <w:szCs w:val="24"/>
        </w:rPr>
        <w:t>/</w:t>
      </w:r>
      <w:r w:rsidR="0099145B">
        <w:rPr>
          <w:rFonts w:cstheme="minorHAnsi"/>
          <w:sz w:val="24"/>
          <w:szCs w:val="24"/>
        </w:rPr>
        <w:t>service providers</w:t>
      </w:r>
      <w:r w:rsidR="00C42EB1">
        <w:rPr>
          <w:rFonts w:cstheme="minorHAnsi"/>
          <w:sz w:val="24"/>
          <w:szCs w:val="24"/>
        </w:rPr>
        <w:t xml:space="preserve">, sometimes </w:t>
      </w:r>
      <w:r w:rsidR="0023114B">
        <w:rPr>
          <w:rFonts w:cstheme="minorHAnsi"/>
          <w:sz w:val="24"/>
          <w:szCs w:val="24"/>
        </w:rPr>
        <w:t xml:space="preserve">through the inadvertent </w:t>
      </w:r>
      <w:r w:rsidR="00E039E3" w:rsidRPr="00FE2B54">
        <w:rPr>
          <w:rFonts w:cstheme="minorHAnsi"/>
          <w:sz w:val="24"/>
          <w:szCs w:val="24"/>
        </w:rPr>
        <w:t>activati</w:t>
      </w:r>
      <w:r w:rsidR="0023114B">
        <w:rPr>
          <w:rFonts w:cstheme="minorHAnsi"/>
          <w:sz w:val="24"/>
          <w:szCs w:val="24"/>
        </w:rPr>
        <w:t>on of</w:t>
      </w:r>
      <w:r w:rsidR="00E039E3" w:rsidRPr="00FE2B54">
        <w:rPr>
          <w:rFonts w:cstheme="minorHAnsi"/>
          <w:sz w:val="24"/>
          <w:szCs w:val="24"/>
        </w:rPr>
        <w:t xml:space="preserve"> past experiences</w:t>
      </w:r>
      <w:r w:rsidR="0023114B">
        <w:rPr>
          <w:rFonts w:cstheme="minorHAnsi"/>
          <w:sz w:val="24"/>
          <w:szCs w:val="24"/>
        </w:rPr>
        <w:t xml:space="preserve"> </w:t>
      </w:r>
      <w:r w:rsidR="000545E2">
        <w:rPr>
          <w:rFonts w:cstheme="minorHAnsi"/>
          <w:sz w:val="24"/>
          <w:szCs w:val="24"/>
        </w:rPr>
        <w:t>of discrimination</w:t>
      </w:r>
      <w:r w:rsidR="00E039E3" w:rsidRPr="00FE2B54">
        <w:rPr>
          <w:rFonts w:cstheme="minorHAnsi"/>
          <w:sz w:val="24"/>
          <w:szCs w:val="24"/>
        </w:rPr>
        <w:t>.</w:t>
      </w:r>
      <w:r w:rsidR="00FE2B54">
        <w:rPr>
          <w:rFonts w:cstheme="minorHAnsi"/>
          <w:sz w:val="24"/>
          <w:szCs w:val="24"/>
        </w:rPr>
        <w:t xml:space="preserve"> </w:t>
      </w:r>
      <w:r w:rsidR="000545E2">
        <w:rPr>
          <w:rFonts w:cstheme="minorHAnsi"/>
          <w:sz w:val="24"/>
          <w:szCs w:val="24"/>
        </w:rPr>
        <w:t>C</w:t>
      </w:r>
      <w:r w:rsidR="00E039E3" w:rsidRPr="00FE2B54">
        <w:rPr>
          <w:rFonts w:cstheme="minorHAnsi"/>
          <w:sz w:val="24"/>
          <w:szCs w:val="24"/>
        </w:rPr>
        <w:t xml:space="preserve">omplexities around handling pain medication </w:t>
      </w:r>
      <w:r w:rsidR="002F73D5">
        <w:rPr>
          <w:rFonts w:cstheme="minorHAnsi"/>
          <w:sz w:val="24"/>
          <w:szCs w:val="24"/>
        </w:rPr>
        <w:t>require practitioners who m</w:t>
      </w:r>
      <w:r w:rsidR="00E039E3" w:rsidRPr="00FE2B54">
        <w:rPr>
          <w:rFonts w:cstheme="minorHAnsi"/>
          <w:sz w:val="24"/>
          <w:szCs w:val="24"/>
        </w:rPr>
        <w:t>ov</w:t>
      </w:r>
      <w:r w:rsidR="002F73D5">
        <w:rPr>
          <w:rFonts w:cstheme="minorHAnsi"/>
          <w:sz w:val="24"/>
          <w:szCs w:val="24"/>
        </w:rPr>
        <w:t xml:space="preserve">e </w:t>
      </w:r>
      <w:r w:rsidR="00E039E3" w:rsidRPr="00FE2B54">
        <w:rPr>
          <w:rFonts w:cstheme="minorHAnsi"/>
          <w:sz w:val="24"/>
          <w:szCs w:val="24"/>
        </w:rPr>
        <w:t xml:space="preserve">beyond </w:t>
      </w:r>
      <w:r w:rsidR="001A5EAD">
        <w:rPr>
          <w:rFonts w:cstheme="minorHAnsi"/>
          <w:sz w:val="24"/>
          <w:szCs w:val="24"/>
        </w:rPr>
        <w:t xml:space="preserve">procedural approaches to build </w:t>
      </w:r>
      <w:r w:rsidR="00E039E3" w:rsidRPr="00FE2B54">
        <w:rPr>
          <w:rFonts w:cstheme="minorHAnsi"/>
          <w:sz w:val="24"/>
          <w:szCs w:val="24"/>
        </w:rPr>
        <w:t>trusting</w:t>
      </w:r>
      <w:r w:rsidR="001A5EAD">
        <w:rPr>
          <w:rFonts w:cstheme="minorHAnsi"/>
          <w:sz w:val="24"/>
          <w:szCs w:val="24"/>
        </w:rPr>
        <w:t xml:space="preserve"> relationships </w:t>
      </w:r>
      <w:r w:rsidR="00B65082">
        <w:rPr>
          <w:rFonts w:cstheme="minorHAnsi"/>
          <w:sz w:val="24"/>
          <w:szCs w:val="24"/>
        </w:rPr>
        <w:t>gr</w:t>
      </w:r>
      <w:r w:rsidR="00A80C0F">
        <w:rPr>
          <w:rFonts w:cstheme="minorHAnsi"/>
          <w:sz w:val="24"/>
          <w:szCs w:val="24"/>
        </w:rPr>
        <w:t xml:space="preserve">ounded in </w:t>
      </w:r>
      <w:r w:rsidR="00E039E3" w:rsidRPr="00FE2B54">
        <w:rPr>
          <w:rFonts w:cstheme="minorHAnsi"/>
          <w:sz w:val="24"/>
          <w:szCs w:val="24"/>
        </w:rPr>
        <w:t>‘points of connection’</w:t>
      </w:r>
      <w:r w:rsidR="00B65082">
        <w:rPr>
          <w:rFonts w:cstheme="minorHAnsi"/>
          <w:sz w:val="24"/>
          <w:szCs w:val="24"/>
        </w:rPr>
        <w:t xml:space="preserve"> between practitioner and person</w:t>
      </w:r>
      <w:r w:rsidR="00E039E3" w:rsidRPr="00FE2B54">
        <w:rPr>
          <w:rFonts w:cstheme="minorHAnsi"/>
          <w:sz w:val="24"/>
          <w:szCs w:val="24"/>
        </w:rPr>
        <w:t>.</w:t>
      </w:r>
    </w:p>
    <w:p w14:paraId="1E876BED" w14:textId="103B1232" w:rsidR="0095456E" w:rsidRPr="00C4707E" w:rsidRDefault="00E1064C" w:rsidP="000E31D2">
      <w:pPr>
        <w:spacing w:after="0" w:line="240" w:lineRule="auto"/>
        <w:rPr>
          <w:rFonts w:cstheme="minorHAnsi"/>
          <w:sz w:val="24"/>
          <w:szCs w:val="24"/>
        </w:rPr>
      </w:pPr>
      <w:r>
        <w:rPr>
          <w:rFonts w:cstheme="minorHAnsi"/>
          <w:b/>
          <w:bCs/>
          <w:i/>
          <w:iCs/>
          <w:sz w:val="24"/>
          <w:szCs w:val="24"/>
        </w:rPr>
        <w:lastRenderedPageBreak/>
        <w:t xml:space="preserve">Case </w:t>
      </w:r>
      <w:r w:rsidR="00A42C6A">
        <w:rPr>
          <w:rFonts w:cstheme="minorHAnsi"/>
          <w:b/>
          <w:bCs/>
          <w:i/>
          <w:iCs/>
          <w:sz w:val="24"/>
          <w:szCs w:val="24"/>
        </w:rPr>
        <w:t xml:space="preserve">studies </w:t>
      </w:r>
      <w:r w:rsidR="00F82401">
        <w:rPr>
          <w:rFonts w:cstheme="minorHAnsi"/>
          <w:b/>
          <w:bCs/>
          <w:i/>
          <w:iCs/>
          <w:sz w:val="24"/>
          <w:szCs w:val="24"/>
        </w:rPr>
        <w:t xml:space="preserve">with </w:t>
      </w:r>
      <w:r w:rsidR="00B65082">
        <w:rPr>
          <w:rFonts w:cstheme="minorHAnsi"/>
          <w:b/>
          <w:bCs/>
          <w:i/>
          <w:iCs/>
          <w:sz w:val="24"/>
          <w:szCs w:val="24"/>
        </w:rPr>
        <w:t>f</w:t>
      </w:r>
      <w:r w:rsidR="00F82401">
        <w:rPr>
          <w:rFonts w:cstheme="minorHAnsi"/>
          <w:b/>
          <w:bCs/>
          <w:i/>
          <w:iCs/>
          <w:sz w:val="24"/>
          <w:szCs w:val="24"/>
        </w:rPr>
        <w:t xml:space="preserve">amily, </w:t>
      </w:r>
      <w:proofErr w:type="gramStart"/>
      <w:r w:rsidR="00B65082">
        <w:rPr>
          <w:rFonts w:cstheme="minorHAnsi"/>
          <w:b/>
          <w:bCs/>
          <w:i/>
          <w:iCs/>
          <w:sz w:val="24"/>
          <w:szCs w:val="24"/>
        </w:rPr>
        <w:t>f</w:t>
      </w:r>
      <w:r w:rsidR="00F82401">
        <w:rPr>
          <w:rFonts w:cstheme="minorHAnsi"/>
          <w:b/>
          <w:bCs/>
          <w:i/>
          <w:iCs/>
          <w:sz w:val="24"/>
          <w:szCs w:val="24"/>
        </w:rPr>
        <w:t>riends</w:t>
      </w:r>
      <w:proofErr w:type="gramEnd"/>
      <w:r w:rsidR="00F82401">
        <w:rPr>
          <w:rFonts w:cstheme="minorHAnsi"/>
          <w:b/>
          <w:bCs/>
          <w:i/>
          <w:iCs/>
          <w:sz w:val="24"/>
          <w:szCs w:val="24"/>
        </w:rPr>
        <w:t xml:space="preserve"> and </w:t>
      </w:r>
      <w:r w:rsidR="00B65082">
        <w:rPr>
          <w:rFonts w:cstheme="minorHAnsi"/>
          <w:b/>
          <w:bCs/>
          <w:i/>
          <w:iCs/>
          <w:sz w:val="24"/>
          <w:szCs w:val="24"/>
        </w:rPr>
        <w:t>c</w:t>
      </w:r>
      <w:r w:rsidR="00F82401">
        <w:rPr>
          <w:rFonts w:cstheme="minorHAnsi"/>
          <w:b/>
          <w:bCs/>
          <w:i/>
          <w:iCs/>
          <w:sz w:val="24"/>
          <w:szCs w:val="24"/>
        </w:rPr>
        <w:t>arers</w:t>
      </w:r>
      <w:r w:rsidR="00001FD9">
        <w:rPr>
          <w:rFonts w:cstheme="minorHAnsi"/>
          <w:b/>
          <w:bCs/>
          <w:i/>
          <w:iCs/>
          <w:sz w:val="24"/>
          <w:szCs w:val="24"/>
        </w:rPr>
        <w:t xml:space="preserve">: </w:t>
      </w:r>
      <w:r w:rsidR="00410727">
        <w:rPr>
          <w:rFonts w:cstheme="minorHAnsi"/>
          <w:sz w:val="24"/>
          <w:szCs w:val="24"/>
        </w:rPr>
        <w:t>F</w:t>
      </w:r>
      <w:r w:rsidR="003E69C1">
        <w:rPr>
          <w:rFonts w:cstheme="minorHAnsi"/>
          <w:sz w:val="24"/>
          <w:szCs w:val="24"/>
        </w:rPr>
        <w:t xml:space="preserve">riends </w:t>
      </w:r>
      <w:r w:rsidR="00410727">
        <w:rPr>
          <w:rFonts w:cstheme="minorHAnsi"/>
          <w:sz w:val="24"/>
          <w:szCs w:val="24"/>
        </w:rPr>
        <w:t xml:space="preserve">in particular tend to play a much </w:t>
      </w:r>
      <w:r w:rsidR="00001FD9" w:rsidRPr="00C95B42">
        <w:rPr>
          <w:rFonts w:cstheme="minorHAnsi"/>
          <w:sz w:val="24"/>
          <w:szCs w:val="24"/>
        </w:rPr>
        <w:t xml:space="preserve">more central role </w:t>
      </w:r>
      <w:r w:rsidR="00232BCA">
        <w:rPr>
          <w:rFonts w:cstheme="minorHAnsi"/>
          <w:sz w:val="24"/>
          <w:szCs w:val="24"/>
        </w:rPr>
        <w:t xml:space="preserve">in providing end-of-life </w:t>
      </w:r>
      <w:r w:rsidR="00B65082">
        <w:rPr>
          <w:rFonts w:cstheme="minorHAnsi"/>
          <w:sz w:val="24"/>
          <w:szCs w:val="24"/>
        </w:rPr>
        <w:t xml:space="preserve">health and social </w:t>
      </w:r>
      <w:r w:rsidR="00232BCA">
        <w:rPr>
          <w:rFonts w:cstheme="minorHAnsi"/>
          <w:sz w:val="24"/>
          <w:szCs w:val="24"/>
        </w:rPr>
        <w:t xml:space="preserve">care </w:t>
      </w:r>
      <w:r w:rsidR="00410727">
        <w:rPr>
          <w:rFonts w:cstheme="minorHAnsi"/>
          <w:sz w:val="24"/>
          <w:szCs w:val="24"/>
        </w:rPr>
        <w:t xml:space="preserve">for people using substances than </w:t>
      </w:r>
      <w:r w:rsidR="003B3CAF">
        <w:rPr>
          <w:rFonts w:cstheme="minorHAnsi"/>
          <w:sz w:val="24"/>
          <w:szCs w:val="24"/>
        </w:rPr>
        <w:t>with ‘traditional</w:t>
      </w:r>
      <w:r w:rsidR="00B65082">
        <w:rPr>
          <w:rFonts w:cstheme="minorHAnsi"/>
          <w:sz w:val="24"/>
          <w:szCs w:val="24"/>
        </w:rPr>
        <w:t>’</w:t>
      </w:r>
      <w:r w:rsidR="003B3CAF">
        <w:rPr>
          <w:rFonts w:cstheme="minorHAnsi"/>
          <w:sz w:val="24"/>
          <w:szCs w:val="24"/>
        </w:rPr>
        <w:t xml:space="preserve"> patients</w:t>
      </w:r>
      <w:r w:rsidR="008576C6">
        <w:rPr>
          <w:rFonts w:cstheme="minorHAnsi"/>
          <w:sz w:val="24"/>
          <w:szCs w:val="24"/>
        </w:rPr>
        <w:t xml:space="preserve"> or clients</w:t>
      </w:r>
      <w:r w:rsidR="003B3CAF">
        <w:rPr>
          <w:rFonts w:cstheme="minorHAnsi"/>
          <w:sz w:val="24"/>
          <w:szCs w:val="24"/>
        </w:rPr>
        <w:t xml:space="preserve">. There is </w:t>
      </w:r>
      <w:r w:rsidR="00001FD9" w:rsidRPr="00C95B42">
        <w:rPr>
          <w:rFonts w:cstheme="minorHAnsi"/>
          <w:sz w:val="24"/>
          <w:szCs w:val="24"/>
        </w:rPr>
        <w:t xml:space="preserve">a </w:t>
      </w:r>
      <w:r w:rsidR="003B3CAF">
        <w:rPr>
          <w:rFonts w:cstheme="minorHAnsi"/>
          <w:sz w:val="24"/>
          <w:szCs w:val="24"/>
        </w:rPr>
        <w:t xml:space="preserve">stark </w:t>
      </w:r>
      <w:r w:rsidR="00001FD9" w:rsidRPr="00C95B42">
        <w:rPr>
          <w:rFonts w:cstheme="minorHAnsi"/>
          <w:sz w:val="24"/>
          <w:szCs w:val="24"/>
        </w:rPr>
        <w:t xml:space="preserve">need for greater understanding </w:t>
      </w:r>
      <w:r w:rsidR="008576C6">
        <w:rPr>
          <w:rFonts w:cstheme="minorHAnsi"/>
          <w:sz w:val="24"/>
          <w:szCs w:val="24"/>
        </w:rPr>
        <w:t xml:space="preserve">of </w:t>
      </w:r>
      <w:r w:rsidR="000C1F21">
        <w:rPr>
          <w:rFonts w:cstheme="minorHAnsi"/>
          <w:sz w:val="24"/>
          <w:szCs w:val="24"/>
        </w:rPr>
        <w:t xml:space="preserve">the </w:t>
      </w:r>
      <w:r w:rsidR="008576C6">
        <w:rPr>
          <w:rFonts w:cstheme="minorHAnsi"/>
          <w:sz w:val="24"/>
          <w:szCs w:val="24"/>
        </w:rPr>
        <w:t>famil</w:t>
      </w:r>
      <w:r w:rsidR="000C1F21">
        <w:rPr>
          <w:rFonts w:cstheme="minorHAnsi"/>
          <w:sz w:val="24"/>
          <w:szCs w:val="24"/>
        </w:rPr>
        <w:t xml:space="preserve">y’s and friends’ support needs </w:t>
      </w:r>
      <w:r w:rsidR="00001FD9" w:rsidRPr="00C95B42">
        <w:rPr>
          <w:rFonts w:cstheme="minorHAnsi"/>
          <w:sz w:val="24"/>
          <w:szCs w:val="24"/>
        </w:rPr>
        <w:t xml:space="preserve">and exploration of </w:t>
      </w:r>
      <w:r w:rsidR="000C1F21">
        <w:rPr>
          <w:rFonts w:cstheme="minorHAnsi"/>
          <w:sz w:val="24"/>
          <w:szCs w:val="24"/>
        </w:rPr>
        <w:t>systemic</w:t>
      </w:r>
      <w:r w:rsidR="00001FD9" w:rsidRPr="00C95B42">
        <w:rPr>
          <w:rFonts w:cstheme="minorHAnsi"/>
          <w:sz w:val="24"/>
          <w:szCs w:val="24"/>
        </w:rPr>
        <w:t xml:space="preserve"> strengths and challenges around this area. </w:t>
      </w:r>
    </w:p>
    <w:p w14:paraId="19C3FD4E" w14:textId="77777777" w:rsidR="004C48B6" w:rsidRDefault="004C48B6" w:rsidP="000E31D2">
      <w:pPr>
        <w:spacing w:after="0" w:line="240" w:lineRule="auto"/>
        <w:rPr>
          <w:rFonts w:ascii="Calibri" w:eastAsiaTheme="majorEastAsia" w:hAnsi="Calibri"/>
          <w:b/>
          <w:bCs/>
          <w:sz w:val="24"/>
          <w:szCs w:val="24"/>
        </w:rPr>
      </w:pPr>
    </w:p>
    <w:p w14:paraId="655B5CCB" w14:textId="3BF3F9D4" w:rsidR="00A25FA4" w:rsidRPr="00C4707E" w:rsidRDefault="00021398" w:rsidP="00C4707E">
      <w:pPr>
        <w:pStyle w:val="Heading3"/>
        <w:rPr>
          <w:b/>
          <w:bCs/>
          <w:color w:val="000000" w:themeColor="text1"/>
          <w:sz w:val="28"/>
          <w:szCs w:val="28"/>
        </w:rPr>
      </w:pPr>
      <w:r w:rsidRPr="00C4707E">
        <w:rPr>
          <w:b/>
          <w:bCs/>
          <w:color w:val="000000" w:themeColor="text1"/>
          <w:sz w:val="28"/>
          <w:szCs w:val="28"/>
        </w:rPr>
        <w:t xml:space="preserve">Development of </w:t>
      </w:r>
      <w:r w:rsidR="00C82BC3" w:rsidRPr="00C4707E">
        <w:rPr>
          <w:b/>
          <w:bCs/>
          <w:color w:val="000000" w:themeColor="text1"/>
          <w:sz w:val="28"/>
          <w:szCs w:val="28"/>
        </w:rPr>
        <w:t xml:space="preserve">information and training </w:t>
      </w:r>
      <w:r w:rsidRPr="00C4707E">
        <w:rPr>
          <w:b/>
          <w:bCs/>
          <w:color w:val="000000" w:themeColor="text1"/>
          <w:sz w:val="28"/>
          <w:szCs w:val="28"/>
        </w:rPr>
        <w:t>resources</w:t>
      </w:r>
    </w:p>
    <w:p w14:paraId="7B55D8CB" w14:textId="77777777" w:rsidR="005016EA" w:rsidRDefault="005016EA" w:rsidP="005016EA">
      <w:pPr>
        <w:spacing w:after="0" w:line="240" w:lineRule="auto"/>
        <w:rPr>
          <w:sz w:val="24"/>
          <w:szCs w:val="24"/>
        </w:rPr>
      </w:pPr>
      <w:r>
        <w:rPr>
          <w:rFonts w:cstheme="minorHAnsi"/>
          <w:sz w:val="24"/>
          <w:szCs w:val="24"/>
        </w:rPr>
        <w:t xml:space="preserve">To </w:t>
      </w:r>
      <w:r w:rsidR="00796812" w:rsidRPr="005016EA">
        <w:rPr>
          <w:rFonts w:cstheme="minorHAnsi"/>
          <w:sz w:val="24"/>
          <w:szCs w:val="24"/>
        </w:rPr>
        <w:t>facilitate the</w:t>
      </w:r>
      <w:r>
        <w:rPr>
          <w:rFonts w:cstheme="minorHAnsi"/>
          <w:sz w:val="24"/>
          <w:szCs w:val="24"/>
        </w:rPr>
        <w:t xml:space="preserve"> dissemination of the</w:t>
      </w:r>
      <w:r w:rsidR="00796812" w:rsidRPr="005016EA">
        <w:rPr>
          <w:rFonts w:cstheme="minorHAnsi"/>
          <w:sz w:val="24"/>
          <w:szCs w:val="24"/>
        </w:rPr>
        <w:t xml:space="preserve"> </w:t>
      </w:r>
      <w:r w:rsidR="004D5956" w:rsidRPr="005016EA">
        <w:rPr>
          <w:rFonts w:cstheme="minorHAnsi"/>
          <w:sz w:val="24"/>
          <w:szCs w:val="24"/>
        </w:rPr>
        <w:t xml:space="preserve">new </w:t>
      </w:r>
      <w:r w:rsidR="004C48B6" w:rsidRPr="005016EA">
        <w:rPr>
          <w:rFonts w:cstheme="minorHAnsi"/>
          <w:sz w:val="24"/>
          <w:szCs w:val="24"/>
        </w:rPr>
        <w:t>m</w:t>
      </w:r>
      <w:r w:rsidR="004D5956" w:rsidRPr="005016EA">
        <w:rPr>
          <w:rFonts w:cstheme="minorHAnsi"/>
          <w:sz w:val="24"/>
          <w:szCs w:val="24"/>
        </w:rPr>
        <w:t xml:space="preserve">odel of </w:t>
      </w:r>
      <w:r w:rsidR="004C48B6" w:rsidRPr="005016EA">
        <w:rPr>
          <w:rFonts w:cstheme="minorHAnsi"/>
          <w:sz w:val="24"/>
          <w:szCs w:val="24"/>
        </w:rPr>
        <w:t>c</w:t>
      </w:r>
      <w:r w:rsidR="004D5956" w:rsidRPr="005016EA">
        <w:rPr>
          <w:rFonts w:cstheme="minorHAnsi"/>
          <w:sz w:val="24"/>
          <w:szCs w:val="24"/>
        </w:rPr>
        <w:t xml:space="preserve">are and </w:t>
      </w:r>
      <w:r>
        <w:rPr>
          <w:rFonts w:cstheme="minorHAnsi"/>
          <w:sz w:val="24"/>
          <w:szCs w:val="24"/>
        </w:rPr>
        <w:t xml:space="preserve">to </w:t>
      </w:r>
      <w:r w:rsidR="004D5956" w:rsidRPr="005016EA">
        <w:rPr>
          <w:rFonts w:cstheme="minorHAnsi"/>
          <w:sz w:val="24"/>
          <w:szCs w:val="24"/>
        </w:rPr>
        <w:t xml:space="preserve">respond </w:t>
      </w:r>
      <w:r w:rsidR="00C5547E" w:rsidRPr="005016EA">
        <w:rPr>
          <w:rFonts w:cstheme="minorHAnsi"/>
          <w:sz w:val="24"/>
          <w:szCs w:val="24"/>
        </w:rPr>
        <w:t xml:space="preserve">to </w:t>
      </w:r>
      <w:r w:rsidR="00B92945" w:rsidRPr="005016EA">
        <w:rPr>
          <w:rFonts w:cstheme="minorHAnsi"/>
          <w:sz w:val="24"/>
          <w:szCs w:val="24"/>
        </w:rPr>
        <w:t xml:space="preserve">the </w:t>
      </w:r>
      <w:r w:rsidR="004D5956" w:rsidRPr="005016EA">
        <w:rPr>
          <w:rFonts w:cstheme="minorHAnsi"/>
          <w:sz w:val="24"/>
          <w:szCs w:val="24"/>
        </w:rPr>
        <w:t xml:space="preserve">fieldwork limitations created by the </w:t>
      </w:r>
      <w:r w:rsidR="009912C9" w:rsidRPr="005016EA">
        <w:rPr>
          <w:sz w:val="24"/>
          <w:szCs w:val="24"/>
        </w:rPr>
        <w:t>pandemic</w:t>
      </w:r>
      <w:r w:rsidR="004D5956" w:rsidRPr="005016EA">
        <w:rPr>
          <w:sz w:val="24"/>
          <w:szCs w:val="24"/>
        </w:rPr>
        <w:t>,</w:t>
      </w:r>
      <w:r w:rsidR="009912C9" w:rsidRPr="005016EA">
        <w:rPr>
          <w:sz w:val="24"/>
          <w:szCs w:val="24"/>
        </w:rPr>
        <w:t xml:space="preserve"> </w:t>
      </w:r>
      <w:r w:rsidR="009B13A0" w:rsidRPr="005016EA">
        <w:rPr>
          <w:sz w:val="24"/>
          <w:szCs w:val="24"/>
        </w:rPr>
        <w:t xml:space="preserve">website resources </w:t>
      </w:r>
      <w:r w:rsidR="00FA0BC7" w:rsidRPr="005016EA">
        <w:rPr>
          <w:sz w:val="24"/>
          <w:szCs w:val="24"/>
        </w:rPr>
        <w:t xml:space="preserve">were developed to support </w:t>
      </w:r>
      <w:r w:rsidR="009B13A0" w:rsidRPr="005016EA">
        <w:rPr>
          <w:sz w:val="24"/>
          <w:szCs w:val="24"/>
        </w:rPr>
        <w:t xml:space="preserve">training </w:t>
      </w:r>
      <w:r w:rsidR="007A3487" w:rsidRPr="005016EA">
        <w:rPr>
          <w:sz w:val="24"/>
          <w:szCs w:val="24"/>
        </w:rPr>
        <w:t>for practitioner</w:t>
      </w:r>
      <w:r>
        <w:rPr>
          <w:sz w:val="24"/>
          <w:szCs w:val="24"/>
        </w:rPr>
        <w:t>s</w:t>
      </w:r>
      <w:r w:rsidR="004C48B6" w:rsidRPr="005016EA">
        <w:rPr>
          <w:sz w:val="24"/>
          <w:szCs w:val="24"/>
        </w:rPr>
        <w:t>, and information for families and for people with lived experience</w:t>
      </w:r>
      <w:r w:rsidR="003C39D6" w:rsidRPr="005016EA">
        <w:rPr>
          <w:sz w:val="24"/>
          <w:szCs w:val="24"/>
        </w:rPr>
        <w:t>.</w:t>
      </w:r>
      <w:r w:rsidR="001275AB" w:rsidRPr="005016EA">
        <w:rPr>
          <w:sz w:val="24"/>
          <w:szCs w:val="24"/>
        </w:rPr>
        <w:t xml:space="preserve"> </w:t>
      </w:r>
      <w:r w:rsidR="004C48B6" w:rsidRPr="005016EA">
        <w:rPr>
          <w:sz w:val="24"/>
          <w:szCs w:val="24"/>
        </w:rPr>
        <w:t>Pilot s</w:t>
      </w:r>
      <w:r w:rsidR="001275AB" w:rsidRPr="005016EA">
        <w:rPr>
          <w:sz w:val="24"/>
          <w:szCs w:val="24"/>
        </w:rPr>
        <w:t xml:space="preserve">upport forums </w:t>
      </w:r>
      <w:r w:rsidR="004C48B6" w:rsidRPr="005016EA">
        <w:rPr>
          <w:sz w:val="24"/>
          <w:szCs w:val="24"/>
        </w:rPr>
        <w:t xml:space="preserve">for practitioners and families </w:t>
      </w:r>
      <w:r w:rsidR="001275AB" w:rsidRPr="005016EA">
        <w:rPr>
          <w:sz w:val="24"/>
          <w:szCs w:val="24"/>
        </w:rPr>
        <w:t xml:space="preserve">were </w:t>
      </w:r>
      <w:r w:rsidR="003C39D6" w:rsidRPr="005016EA">
        <w:rPr>
          <w:sz w:val="24"/>
          <w:szCs w:val="24"/>
        </w:rPr>
        <w:t xml:space="preserve">also </w:t>
      </w:r>
      <w:r w:rsidR="001275AB" w:rsidRPr="005016EA">
        <w:rPr>
          <w:sz w:val="24"/>
          <w:szCs w:val="24"/>
        </w:rPr>
        <w:t>established</w:t>
      </w:r>
      <w:r w:rsidR="00BF4EDB" w:rsidRPr="005016EA">
        <w:rPr>
          <w:sz w:val="24"/>
          <w:szCs w:val="24"/>
        </w:rPr>
        <w:t xml:space="preserve">. </w:t>
      </w:r>
    </w:p>
    <w:p w14:paraId="4C4A20EB" w14:textId="77777777" w:rsidR="005016EA" w:rsidRDefault="005016EA" w:rsidP="005016EA">
      <w:pPr>
        <w:spacing w:after="0" w:line="240" w:lineRule="auto"/>
        <w:rPr>
          <w:sz w:val="24"/>
          <w:szCs w:val="24"/>
        </w:rPr>
      </w:pPr>
    </w:p>
    <w:p w14:paraId="0CD298B4" w14:textId="45145FD1" w:rsidR="006929C9" w:rsidRPr="005016EA" w:rsidRDefault="004C48B6" w:rsidP="005016EA">
      <w:pPr>
        <w:spacing w:after="0" w:line="240" w:lineRule="auto"/>
        <w:rPr>
          <w:sz w:val="24"/>
          <w:szCs w:val="24"/>
        </w:rPr>
      </w:pPr>
      <w:r w:rsidRPr="005016EA">
        <w:rPr>
          <w:sz w:val="24"/>
          <w:szCs w:val="24"/>
        </w:rPr>
        <w:t xml:space="preserve">The website </w:t>
      </w:r>
      <w:r w:rsidR="005016EA" w:rsidRPr="005016EA">
        <w:rPr>
          <w:rFonts w:eastAsiaTheme="majorEastAsia" w:cstheme="minorHAnsi"/>
          <w:sz w:val="24"/>
          <w:szCs w:val="24"/>
        </w:rPr>
        <w:t>(</w:t>
      </w:r>
      <w:hyperlink r:id="rId14" w:history="1">
        <w:r w:rsidR="005016EA" w:rsidRPr="005016EA">
          <w:rPr>
            <w:rStyle w:val="Hyperlink"/>
            <w:rFonts w:eastAsiaTheme="majorEastAsia" w:cstheme="minorHAnsi"/>
            <w:sz w:val="24"/>
            <w:szCs w:val="24"/>
          </w:rPr>
          <w:t>https://endoflifecaresubstanceuse.com/</w:t>
        </w:r>
      </w:hyperlink>
      <w:r w:rsidR="005016EA" w:rsidRPr="005016EA">
        <w:rPr>
          <w:rFonts w:eastAsiaTheme="majorEastAsia" w:cstheme="minorHAnsi"/>
          <w:sz w:val="24"/>
          <w:szCs w:val="24"/>
        </w:rPr>
        <w:t xml:space="preserve">) </w:t>
      </w:r>
      <w:r w:rsidRPr="005016EA">
        <w:rPr>
          <w:sz w:val="24"/>
          <w:szCs w:val="24"/>
        </w:rPr>
        <w:t>c</w:t>
      </w:r>
      <w:r w:rsidR="006B51D3" w:rsidRPr="005016EA">
        <w:rPr>
          <w:sz w:val="24"/>
          <w:szCs w:val="24"/>
        </w:rPr>
        <w:t>ompris</w:t>
      </w:r>
      <w:r w:rsidR="005016EA" w:rsidRPr="005016EA">
        <w:rPr>
          <w:sz w:val="24"/>
          <w:szCs w:val="24"/>
        </w:rPr>
        <w:t>e</w:t>
      </w:r>
      <w:r w:rsidR="005016EA">
        <w:rPr>
          <w:sz w:val="24"/>
          <w:szCs w:val="24"/>
        </w:rPr>
        <w:t>s</w:t>
      </w:r>
      <w:r w:rsidR="006B51D3" w:rsidRPr="005016EA">
        <w:rPr>
          <w:sz w:val="24"/>
          <w:szCs w:val="24"/>
        </w:rPr>
        <w:t xml:space="preserve"> more than 40 podcasts and over 17 different publications</w:t>
      </w:r>
      <w:r w:rsidR="005016EA">
        <w:rPr>
          <w:sz w:val="24"/>
          <w:szCs w:val="24"/>
        </w:rPr>
        <w:t>.</w:t>
      </w:r>
      <w:r w:rsidR="006B51D3" w:rsidRPr="005016EA">
        <w:rPr>
          <w:rFonts w:eastAsiaTheme="majorEastAsia" w:cstheme="minorHAnsi"/>
          <w:sz w:val="24"/>
          <w:szCs w:val="24"/>
        </w:rPr>
        <w:t xml:space="preserve"> </w:t>
      </w:r>
      <w:r w:rsidR="005016EA">
        <w:rPr>
          <w:rFonts w:eastAsiaTheme="majorEastAsia" w:cstheme="minorHAnsi"/>
          <w:sz w:val="24"/>
          <w:szCs w:val="24"/>
        </w:rPr>
        <w:t>It</w:t>
      </w:r>
      <w:r w:rsidR="00C82BC3" w:rsidRPr="005016EA">
        <w:rPr>
          <w:rFonts w:eastAsiaTheme="majorEastAsia" w:cstheme="minorHAnsi"/>
          <w:sz w:val="24"/>
          <w:szCs w:val="24"/>
        </w:rPr>
        <w:t xml:space="preserve"> </w:t>
      </w:r>
      <w:r w:rsidR="00BE0157" w:rsidRPr="005016EA">
        <w:rPr>
          <w:rFonts w:eastAsiaTheme="majorEastAsia" w:cstheme="minorHAnsi"/>
          <w:sz w:val="24"/>
          <w:szCs w:val="24"/>
        </w:rPr>
        <w:t>provides worldwide access</w:t>
      </w:r>
      <w:r w:rsidR="00C82BC3" w:rsidRPr="005016EA">
        <w:rPr>
          <w:rFonts w:eastAsiaTheme="majorEastAsia" w:cstheme="minorHAnsi"/>
          <w:sz w:val="24"/>
          <w:szCs w:val="24"/>
        </w:rPr>
        <w:t xml:space="preserve"> </w:t>
      </w:r>
      <w:r w:rsidR="00BE0157" w:rsidRPr="005016EA">
        <w:rPr>
          <w:rFonts w:eastAsiaTheme="majorEastAsia" w:cstheme="minorHAnsi"/>
          <w:sz w:val="24"/>
          <w:szCs w:val="24"/>
        </w:rPr>
        <w:t xml:space="preserve">to </w:t>
      </w:r>
      <w:r w:rsidR="00C82BC3" w:rsidRPr="005016EA">
        <w:rPr>
          <w:rFonts w:eastAsiaTheme="majorEastAsia" w:cstheme="minorHAnsi"/>
          <w:sz w:val="24"/>
          <w:szCs w:val="24"/>
        </w:rPr>
        <w:t>the resources and information from th</w:t>
      </w:r>
      <w:r w:rsidR="005016EA">
        <w:rPr>
          <w:rFonts w:eastAsiaTheme="majorEastAsia" w:cstheme="minorHAnsi"/>
          <w:sz w:val="24"/>
          <w:szCs w:val="24"/>
        </w:rPr>
        <w:t>is and previous</w:t>
      </w:r>
      <w:r w:rsidR="00C82BC3" w:rsidRPr="005016EA">
        <w:rPr>
          <w:rFonts w:eastAsiaTheme="majorEastAsia" w:cstheme="minorHAnsi"/>
          <w:sz w:val="24"/>
          <w:szCs w:val="24"/>
        </w:rPr>
        <w:t xml:space="preserve"> project</w:t>
      </w:r>
      <w:r w:rsidR="005016EA">
        <w:rPr>
          <w:rFonts w:eastAsiaTheme="majorEastAsia" w:cstheme="minorHAnsi"/>
          <w:sz w:val="24"/>
          <w:szCs w:val="24"/>
        </w:rPr>
        <w:t>s</w:t>
      </w:r>
      <w:r w:rsidR="006929C9" w:rsidRPr="005016EA">
        <w:rPr>
          <w:sz w:val="24"/>
          <w:szCs w:val="24"/>
        </w:rPr>
        <w:t xml:space="preserve"> for professionals, people with lived experience</w:t>
      </w:r>
      <w:r w:rsidR="00FB07D8" w:rsidRPr="005016EA">
        <w:rPr>
          <w:sz w:val="24"/>
          <w:szCs w:val="24"/>
        </w:rPr>
        <w:t xml:space="preserve"> and family/friends/carers</w:t>
      </w:r>
      <w:r w:rsidR="006929C9" w:rsidRPr="005016EA">
        <w:rPr>
          <w:sz w:val="24"/>
          <w:szCs w:val="24"/>
        </w:rPr>
        <w:t>.</w:t>
      </w:r>
    </w:p>
    <w:p w14:paraId="41637850" w14:textId="77777777" w:rsidR="005016EA" w:rsidRPr="005016EA" w:rsidRDefault="005016EA" w:rsidP="005016EA">
      <w:pPr>
        <w:spacing w:after="0" w:line="240" w:lineRule="auto"/>
        <w:rPr>
          <w:sz w:val="24"/>
          <w:szCs w:val="24"/>
        </w:rPr>
      </w:pPr>
    </w:p>
    <w:p w14:paraId="575B0E30" w14:textId="517CC19B" w:rsidR="00707BBC" w:rsidRDefault="00C82BC3" w:rsidP="005016EA">
      <w:pPr>
        <w:spacing w:after="0" w:line="240" w:lineRule="auto"/>
        <w:rPr>
          <w:sz w:val="24"/>
          <w:szCs w:val="24"/>
        </w:rPr>
      </w:pPr>
      <w:r w:rsidRPr="005016EA">
        <w:rPr>
          <w:sz w:val="24"/>
          <w:szCs w:val="24"/>
        </w:rPr>
        <w:t>The training presentations introdu</w:t>
      </w:r>
      <w:r w:rsidR="006A284A" w:rsidRPr="005016EA">
        <w:rPr>
          <w:sz w:val="24"/>
          <w:szCs w:val="24"/>
        </w:rPr>
        <w:t>ced</w:t>
      </w:r>
      <w:r w:rsidRPr="005016EA">
        <w:rPr>
          <w:sz w:val="24"/>
          <w:szCs w:val="24"/>
        </w:rPr>
        <w:t xml:space="preserve"> practitioners to the new model, how it had been developed and the resources in place to support it. </w:t>
      </w:r>
      <w:r w:rsidR="00EA57F5" w:rsidRPr="005016EA">
        <w:rPr>
          <w:sz w:val="24"/>
          <w:szCs w:val="24"/>
        </w:rPr>
        <w:t>164 people were trained across 11 social and health care providers in Liverpool and Sefton.</w:t>
      </w:r>
    </w:p>
    <w:p w14:paraId="3A1C3D70" w14:textId="77777777" w:rsidR="005016EA" w:rsidRPr="005016EA" w:rsidRDefault="005016EA" w:rsidP="005016EA">
      <w:pPr>
        <w:spacing w:after="0" w:line="240" w:lineRule="auto"/>
        <w:rPr>
          <w:sz w:val="24"/>
          <w:szCs w:val="24"/>
        </w:rPr>
      </w:pPr>
    </w:p>
    <w:p w14:paraId="1B5A8206" w14:textId="6F4FA8DC" w:rsidR="006929C9" w:rsidRPr="005016EA" w:rsidRDefault="00C82BC3" w:rsidP="005016EA">
      <w:pPr>
        <w:spacing w:after="0" w:line="240" w:lineRule="auto"/>
        <w:rPr>
          <w:sz w:val="24"/>
          <w:szCs w:val="24"/>
        </w:rPr>
      </w:pPr>
      <w:r w:rsidRPr="005016EA">
        <w:rPr>
          <w:sz w:val="24"/>
          <w:szCs w:val="24"/>
        </w:rPr>
        <w:t>S</w:t>
      </w:r>
      <w:r w:rsidR="006929C9" w:rsidRPr="005016EA">
        <w:rPr>
          <w:sz w:val="24"/>
          <w:szCs w:val="24"/>
        </w:rPr>
        <w:t xml:space="preserve">ix support forums were held, three for practitioners and three for family members. The practitioner forums ran very well </w:t>
      </w:r>
      <w:r w:rsidR="009F652C" w:rsidRPr="005016EA">
        <w:rPr>
          <w:sz w:val="24"/>
          <w:szCs w:val="24"/>
        </w:rPr>
        <w:t>but the</w:t>
      </w:r>
      <w:r w:rsidR="00922BE0" w:rsidRPr="005016EA">
        <w:rPr>
          <w:sz w:val="24"/>
          <w:szCs w:val="24"/>
        </w:rPr>
        <w:t xml:space="preserve"> family members</w:t>
      </w:r>
      <w:r w:rsidR="009F652C" w:rsidRPr="005016EA">
        <w:rPr>
          <w:sz w:val="24"/>
          <w:szCs w:val="24"/>
        </w:rPr>
        <w:t>’</w:t>
      </w:r>
      <w:r w:rsidR="00922BE0" w:rsidRPr="005016EA">
        <w:rPr>
          <w:sz w:val="24"/>
          <w:szCs w:val="24"/>
        </w:rPr>
        <w:t xml:space="preserve"> forums need to be run by family focussed organisations</w:t>
      </w:r>
      <w:r w:rsidR="005016EA">
        <w:rPr>
          <w:sz w:val="24"/>
          <w:szCs w:val="24"/>
        </w:rPr>
        <w:t xml:space="preserve"> to maximise attendance and overcome </w:t>
      </w:r>
      <w:r w:rsidR="0046254A">
        <w:rPr>
          <w:sz w:val="24"/>
          <w:szCs w:val="24"/>
        </w:rPr>
        <w:t>shame and stigma</w:t>
      </w:r>
      <w:r w:rsidR="00922BE0" w:rsidRPr="005016EA">
        <w:rPr>
          <w:sz w:val="24"/>
          <w:szCs w:val="24"/>
        </w:rPr>
        <w:t xml:space="preserve">. </w:t>
      </w:r>
      <w:r w:rsidR="006929C9" w:rsidRPr="005016EA">
        <w:rPr>
          <w:sz w:val="24"/>
          <w:szCs w:val="24"/>
        </w:rPr>
        <w:t>Discussions are ongoing with partner agencies about co-hosting both forums.</w:t>
      </w:r>
    </w:p>
    <w:p w14:paraId="1A273BA2" w14:textId="77777777" w:rsidR="000C1F21" w:rsidRDefault="000C1F21" w:rsidP="005016EA">
      <w:pPr>
        <w:pStyle w:val="ListParagraph"/>
        <w:ind w:left="360"/>
      </w:pPr>
    </w:p>
    <w:p w14:paraId="51B737A3" w14:textId="6F929816" w:rsidR="00A31C0B" w:rsidRPr="00C4707E" w:rsidRDefault="00A31C0B" w:rsidP="00C4707E">
      <w:pPr>
        <w:pStyle w:val="Heading3"/>
        <w:rPr>
          <w:b/>
          <w:bCs/>
          <w:color w:val="000000" w:themeColor="text1"/>
          <w:sz w:val="28"/>
          <w:szCs w:val="28"/>
        </w:rPr>
      </w:pPr>
      <w:r w:rsidRPr="00C4707E">
        <w:rPr>
          <w:b/>
          <w:bCs/>
          <w:color w:val="000000" w:themeColor="text1"/>
          <w:sz w:val="28"/>
          <w:szCs w:val="28"/>
        </w:rPr>
        <w:t xml:space="preserve">Training evaluation </w:t>
      </w:r>
    </w:p>
    <w:p w14:paraId="6F0DD64F" w14:textId="1414DD32" w:rsidR="00A31C0B" w:rsidRDefault="00EE4B3C" w:rsidP="000E31D2">
      <w:pPr>
        <w:spacing w:after="0" w:line="240" w:lineRule="auto"/>
        <w:rPr>
          <w:rFonts w:cstheme="minorHAnsi"/>
          <w:sz w:val="24"/>
          <w:szCs w:val="24"/>
          <w:lang w:val="en-US"/>
        </w:rPr>
      </w:pPr>
      <w:r w:rsidRPr="00385F5A">
        <w:rPr>
          <w:sz w:val="24"/>
          <w:szCs w:val="24"/>
        </w:rPr>
        <w:t xml:space="preserve">The </w:t>
      </w:r>
      <w:r w:rsidR="00F86F0D" w:rsidRPr="00385F5A">
        <w:rPr>
          <w:sz w:val="24"/>
          <w:szCs w:val="24"/>
        </w:rPr>
        <w:t xml:space="preserve">training </w:t>
      </w:r>
      <w:r w:rsidRPr="00385F5A">
        <w:rPr>
          <w:sz w:val="24"/>
          <w:szCs w:val="24"/>
        </w:rPr>
        <w:t>evaluation</w:t>
      </w:r>
      <w:r w:rsidR="00942B9A" w:rsidRPr="00385F5A">
        <w:rPr>
          <w:rStyle w:val="FootnoteReference"/>
          <w:sz w:val="24"/>
          <w:szCs w:val="24"/>
        </w:rPr>
        <w:footnoteReference w:id="5"/>
      </w:r>
      <w:r w:rsidR="00F86F0D" w:rsidRPr="00385F5A">
        <w:rPr>
          <w:sz w:val="24"/>
          <w:szCs w:val="24"/>
        </w:rPr>
        <w:t xml:space="preserve"> found that</w:t>
      </w:r>
      <w:r w:rsidR="0046254A">
        <w:rPr>
          <w:sz w:val="24"/>
          <w:szCs w:val="24"/>
        </w:rPr>
        <w:t>,</w:t>
      </w:r>
      <w:r w:rsidR="00F86F0D" w:rsidRPr="00385F5A">
        <w:rPr>
          <w:sz w:val="24"/>
          <w:szCs w:val="24"/>
        </w:rPr>
        <w:t xml:space="preserve"> </w:t>
      </w:r>
      <w:r w:rsidR="00D109B7" w:rsidRPr="00385F5A">
        <w:rPr>
          <w:rFonts w:cstheme="minorHAnsi"/>
          <w:sz w:val="24"/>
          <w:szCs w:val="24"/>
          <w:lang w:val="en-US"/>
        </w:rPr>
        <w:t>compar</w:t>
      </w:r>
      <w:r w:rsidR="00D109B7">
        <w:rPr>
          <w:rFonts w:cstheme="minorHAnsi"/>
          <w:sz w:val="24"/>
          <w:szCs w:val="24"/>
          <w:lang w:val="en-US"/>
        </w:rPr>
        <w:t>ed</w:t>
      </w:r>
      <w:r w:rsidR="00D109B7" w:rsidRPr="00385F5A">
        <w:rPr>
          <w:rFonts w:cstheme="minorHAnsi"/>
          <w:sz w:val="24"/>
          <w:szCs w:val="24"/>
          <w:lang w:val="en-US"/>
        </w:rPr>
        <w:t xml:space="preserve"> </w:t>
      </w:r>
      <w:r w:rsidR="00D109B7">
        <w:rPr>
          <w:rFonts w:cstheme="minorHAnsi"/>
          <w:sz w:val="24"/>
          <w:szCs w:val="24"/>
          <w:lang w:val="en-US"/>
        </w:rPr>
        <w:t xml:space="preserve">to </w:t>
      </w:r>
      <w:r w:rsidR="00D109B7" w:rsidRPr="00385F5A">
        <w:rPr>
          <w:rFonts w:cstheme="minorHAnsi"/>
          <w:sz w:val="24"/>
          <w:szCs w:val="24"/>
          <w:lang w:val="en-US"/>
        </w:rPr>
        <w:t>other services</w:t>
      </w:r>
      <w:r w:rsidR="00D109B7">
        <w:rPr>
          <w:rFonts w:cstheme="minorHAnsi"/>
          <w:sz w:val="24"/>
          <w:szCs w:val="24"/>
          <w:lang w:val="en-US"/>
        </w:rPr>
        <w:t>,</w:t>
      </w:r>
      <w:r w:rsidR="00D109B7" w:rsidRPr="00385F5A">
        <w:rPr>
          <w:rFonts w:cstheme="minorHAnsi"/>
          <w:sz w:val="24"/>
          <w:szCs w:val="24"/>
          <w:lang w:val="en-US"/>
        </w:rPr>
        <w:t xml:space="preserve"> </w:t>
      </w:r>
      <w:r w:rsidR="00A31C0B" w:rsidRPr="00385F5A">
        <w:rPr>
          <w:rFonts w:cstheme="minorHAnsi"/>
          <w:sz w:val="24"/>
          <w:szCs w:val="24"/>
          <w:lang w:val="en-US"/>
        </w:rPr>
        <w:t xml:space="preserve">addictions service staff do </w:t>
      </w:r>
      <w:r w:rsidR="00D109B7">
        <w:rPr>
          <w:rFonts w:cstheme="minorHAnsi"/>
          <w:sz w:val="24"/>
          <w:szCs w:val="24"/>
          <w:lang w:val="en-US"/>
        </w:rPr>
        <w:t xml:space="preserve">not </w:t>
      </w:r>
      <w:r w:rsidR="00A31C0B" w:rsidRPr="00385F5A">
        <w:rPr>
          <w:rFonts w:cstheme="minorHAnsi"/>
          <w:sz w:val="24"/>
          <w:szCs w:val="24"/>
          <w:lang w:val="en-US"/>
        </w:rPr>
        <w:t xml:space="preserve">expect to manage end-of-life clients. </w:t>
      </w:r>
      <w:r w:rsidR="004A3213">
        <w:rPr>
          <w:rFonts w:cstheme="minorHAnsi"/>
          <w:sz w:val="24"/>
          <w:szCs w:val="24"/>
          <w:lang w:val="en-US"/>
        </w:rPr>
        <w:t>Whilst</w:t>
      </w:r>
      <w:r w:rsidR="008825EE">
        <w:rPr>
          <w:rFonts w:cstheme="minorHAnsi"/>
          <w:sz w:val="24"/>
          <w:szCs w:val="24"/>
          <w:lang w:val="en-US"/>
        </w:rPr>
        <w:t xml:space="preserve"> general </w:t>
      </w:r>
      <w:r w:rsidR="001E442B" w:rsidRPr="001E442B">
        <w:rPr>
          <w:sz w:val="24"/>
          <w:szCs w:val="24"/>
        </w:rPr>
        <w:t>expectations and attitudes to</w:t>
      </w:r>
      <w:r w:rsidR="008825EE">
        <w:rPr>
          <w:sz w:val="24"/>
          <w:szCs w:val="24"/>
        </w:rPr>
        <w:t>wards</w:t>
      </w:r>
      <w:r w:rsidR="001E442B" w:rsidRPr="001E442B">
        <w:rPr>
          <w:sz w:val="24"/>
          <w:szCs w:val="24"/>
        </w:rPr>
        <w:t xml:space="preserve"> </w:t>
      </w:r>
      <w:r w:rsidR="008825EE">
        <w:rPr>
          <w:sz w:val="24"/>
          <w:szCs w:val="24"/>
        </w:rPr>
        <w:t>support</w:t>
      </w:r>
      <w:r w:rsidR="001E442B" w:rsidRPr="001E442B">
        <w:rPr>
          <w:sz w:val="24"/>
          <w:szCs w:val="24"/>
        </w:rPr>
        <w:t xml:space="preserve">ing </w:t>
      </w:r>
      <w:r w:rsidR="008825EE">
        <w:rPr>
          <w:sz w:val="24"/>
          <w:szCs w:val="24"/>
        </w:rPr>
        <w:t xml:space="preserve">people </w:t>
      </w:r>
      <w:r w:rsidR="001E442B" w:rsidRPr="001E442B">
        <w:rPr>
          <w:sz w:val="24"/>
          <w:szCs w:val="24"/>
        </w:rPr>
        <w:t>with comorbid substance use and end-of-life needs were high</w:t>
      </w:r>
      <w:r w:rsidR="001E442B">
        <w:rPr>
          <w:rFonts w:cstheme="minorHAnsi"/>
          <w:sz w:val="24"/>
          <w:szCs w:val="24"/>
          <w:lang w:val="en-US"/>
        </w:rPr>
        <w:t xml:space="preserve"> </w:t>
      </w:r>
      <w:r w:rsidR="004A3213">
        <w:rPr>
          <w:rFonts w:cstheme="minorHAnsi"/>
          <w:sz w:val="24"/>
          <w:szCs w:val="24"/>
          <w:lang w:val="en-US"/>
        </w:rPr>
        <w:t xml:space="preserve">among all practitioners surveyed, they reported </w:t>
      </w:r>
      <w:r w:rsidR="003754E4" w:rsidRPr="00385F5A">
        <w:rPr>
          <w:rFonts w:cstheme="minorHAnsi"/>
          <w:sz w:val="24"/>
          <w:szCs w:val="24"/>
          <w:lang w:val="en-US"/>
        </w:rPr>
        <w:t>experienc</w:t>
      </w:r>
      <w:r w:rsidR="004A3213">
        <w:rPr>
          <w:rFonts w:cstheme="minorHAnsi"/>
          <w:sz w:val="24"/>
          <w:szCs w:val="24"/>
          <w:lang w:val="en-US"/>
        </w:rPr>
        <w:t>ing</w:t>
      </w:r>
      <w:r w:rsidR="003754E4" w:rsidRPr="00385F5A">
        <w:rPr>
          <w:rFonts w:cstheme="minorHAnsi"/>
          <w:sz w:val="24"/>
          <w:szCs w:val="24"/>
          <w:lang w:val="en-US"/>
        </w:rPr>
        <w:t xml:space="preserve"> difficult</w:t>
      </w:r>
      <w:r w:rsidR="004A3213">
        <w:rPr>
          <w:rFonts w:cstheme="minorHAnsi"/>
          <w:sz w:val="24"/>
          <w:szCs w:val="24"/>
          <w:lang w:val="en-US"/>
        </w:rPr>
        <w:t>ies</w:t>
      </w:r>
      <w:r w:rsidR="003754E4" w:rsidRPr="00385F5A">
        <w:rPr>
          <w:rFonts w:cstheme="minorHAnsi"/>
          <w:sz w:val="24"/>
          <w:szCs w:val="24"/>
          <w:lang w:val="en-US"/>
        </w:rPr>
        <w:t xml:space="preserve"> in managing complex clients</w:t>
      </w:r>
      <w:r w:rsidR="00C27B51">
        <w:rPr>
          <w:rFonts w:cstheme="minorHAnsi"/>
          <w:sz w:val="24"/>
          <w:szCs w:val="24"/>
          <w:lang w:val="en-US"/>
        </w:rPr>
        <w:t>.</w:t>
      </w:r>
      <w:r w:rsidR="00DA085E">
        <w:rPr>
          <w:rFonts w:cstheme="minorHAnsi"/>
          <w:sz w:val="24"/>
          <w:szCs w:val="24"/>
          <w:lang w:val="en-US"/>
        </w:rPr>
        <w:t xml:space="preserve"> </w:t>
      </w:r>
      <w:r w:rsidR="004A3213">
        <w:rPr>
          <w:rFonts w:cstheme="minorHAnsi"/>
          <w:sz w:val="24"/>
          <w:szCs w:val="24"/>
          <w:lang w:val="en-US"/>
        </w:rPr>
        <w:t>There were also</w:t>
      </w:r>
      <w:r w:rsidR="00F2517B">
        <w:rPr>
          <w:rFonts w:cstheme="minorHAnsi"/>
          <w:sz w:val="24"/>
          <w:szCs w:val="24"/>
          <w:lang w:val="en-US"/>
        </w:rPr>
        <w:t xml:space="preserve"> differences in relation to p</w:t>
      </w:r>
      <w:r w:rsidR="00F2517B" w:rsidRPr="00F91EDE">
        <w:rPr>
          <w:rFonts w:cstheme="minorHAnsi"/>
          <w:sz w:val="24"/>
          <w:szCs w:val="24"/>
          <w:lang w:val="en-US"/>
        </w:rPr>
        <w:t xml:space="preserve">ractice change beliefs </w:t>
      </w:r>
      <w:r w:rsidR="00A31C0B" w:rsidRPr="00F91EDE">
        <w:rPr>
          <w:rFonts w:cstheme="minorHAnsi"/>
          <w:sz w:val="24"/>
          <w:szCs w:val="24"/>
          <w:lang w:val="en-US"/>
        </w:rPr>
        <w:t xml:space="preserve">between </w:t>
      </w:r>
      <w:r w:rsidR="00F91EDE" w:rsidRPr="00F91EDE">
        <w:rPr>
          <w:rFonts w:cstheme="minorHAnsi"/>
          <w:sz w:val="24"/>
          <w:szCs w:val="24"/>
          <w:lang w:val="en-US"/>
        </w:rPr>
        <w:t>addictions/</w:t>
      </w:r>
      <w:r w:rsidR="0046254A">
        <w:rPr>
          <w:rFonts w:cstheme="minorHAnsi"/>
          <w:sz w:val="24"/>
          <w:szCs w:val="24"/>
          <w:lang w:val="en-US"/>
        </w:rPr>
        <w:t xml:space="preserve"> </w:t>
      </w:r>
      <w:r w:rsidR="00F91EDE" w:rsidRPr="00F91EDE">
        <w:rPr>
          <w:rFonts w:cstheme="minorHAnsi"/>
          <w:sz w:val="24"/>
          <w:szCs w:val="24"/>
          <w:lang w:val="en-US"/>
        </w:rPr>
        <w:t xml:space="preserve">palliative care staff </w:t>
      </w:r>
      <w:r w:rsidR="00E110DB">
        <w:rPr>
          <w:rFonts w:cstheme="minorHAnsi"/>
          <w:sz w:val="24"/>
          <w:szCs w:val="24"/>
          <w:lang w:val="en-US"/>
        </w:rPr>
        <w:t>(</w:t>
      </w:r>
      <w:r w:rsidR="00E110DB" w:rsidRPr="00F91EDE">
        <w:rPr>
          <w:rFonts w:cstheme="minorHAnsi"/>
          <w:sz w:val="24"/>
          <w:szCs w:val="24"/>
          <w:lang w:val="en-US"/>
        </w:rPr>
        <w:t>3</w:t>
      </w:r>
      <w:r w:rsidR="00E110DB" w:rsidRPr="00F91EDE">
        <w:rPr>
          <w:rFonts w:cstheme="minorHAnsi"/>
          <w:sz w:val="24"/>
          <w:szCs w:val="24"/>
          <w:vertAlign w:val="superscript"/>
          <w:lang w:val="en-US"/>
        </w:rPr>
        <w:t>rd</w:t>
      </w:r>
      <w:r w:rsidR="00E110DB" w:rsidRPr="00F91EDE">
        <w:rPr>
          <w:rFonts w:cstheme="minorHAnsi"/>
          <w:sz w:val="24"/>
          <w:szCs w:val="24"/>
          <w:lang w:val="en-US"/>
        </w:rPr>
        <w:t xml:space="preserve"> sector services</w:t>
      </w:r>
      <w:r w:rsidR="00E110DB">
        <w:rPr>
          <w:rFonts w:cstheme="minorHAnsi"/>
          <w:sz w:val="24"/>
          <w:szCs w:val="24"/>
          <w:lang w:val="en-US"/>
        </w:rPr>
        <w:t>)</w:t>
      </w:r>
      <w:r w:rsidR="00E110DB" w:rsidRPr="00F91EDE">
        <w:rPr>
          <w:rFonts w:cstheme="minorHAnsi"/>
          <w:sz w:val="24"/>
          <w:szCs w:val="24"/>
          <w:lang w:val="en-US"/>
        </w:rPr>
        <w:t xml:space="preserve"> </w:t>
      </w:r>
      <w:r w:rsidR="00F91EDE" w:rsidRPr="00F91EDE">
        <w:rPr>
          <w:rFonts w:cstheme="minorHAnsi"/>
          <w:sz w:val="24"/>
          <w:szCs w:val="24"/>
          <w:lang w:val="en-US"/>
        </w:rPr>
        <w:t>and social care</w:t>
      </w:r>
      <w:r w:rsidR="004A3213">
        <w:rPr>
          <w:rFonts w:cstheme="minorHAnsi"/>
          <w:sz w:val="24"/>
          <w:szCs w:val="24"/>
          <w:lang w:val="en-US"/>
        </w:rPr>
        <w:t>/</w:t>
      </w:r>
      <w:r w:rsidR="00F91EDE" w:rsidRPr="00F91EDE">
        <w:rPr>
          <w:rFonts w:cstheme="minorHAnsi"/>
          <w:sz w:val="24"/>
          <w:szCs w:val="24"/>
          <w:lang w:val="en-US"/>
        </w:rPr>
        <w:t>health staff</w:t>
      </w:r>
      <w:r w:rsidR="00E110DB">
        <w:rPr>
          <w:rFonts w:cstheme="minorHAnsi"/>
          <w:sz w:val="24"/>
          <w:szCs w:val="24"/>
          <w:lang w:val="en-US"/>
        </w:rPr>
        <w:t xml:space="preserve"> (</w:t>
      </w:r>
      <w:r w:rsidR="00E110DB" w:rsidRPr="00F91EDE">
        <w:rPr>
          <w:rFonts w:cstheme="minorHAnsi"/>
          <w:sz w:val="24"/>
          <w:szCs w:val="24"/>
          <w:lang w:val="en-US"/>
        </w:rPr>
        <w:t>statutory</w:t>
      </w:r>
      <w:r w:rsidR="00E110DB">
        <w:rPr>
          <w:rFonts w:cstheme="minorHAnsi"/>
          <w:sz w:val="24"/>
          <w:szCs w:val="24"/>
          <w:lang w:val="en-US"/>
        </w:rPr>
        <w:t xml:space="preserve"> services)</w:t>
      </w:r>
      <w:r w:rsidR="00F91EDE" w:rsidRPr="00F91EDE">
        <w:rPr>
          <w:rFonts w:cstheme="minorHAnsi"/>
          <w:sz w:val="24"/>
          <w:szCs w:val="24"/>
          <w:lang w:val="en-US"/>
        </w:rPr>
        <w:t xml:space="preserve"> </w:t>
      </w:r>
      <w:r w:rsidR="00F2517B">
        <w:rPr>
          <w:rFonts w:cstheme="minorHAnsi"/>
          <w:sz w:val="24"/>
          <w:szCs w:val="24"/>
          <w:lang w:val="en-US"/>
        </w:rPr>
        <w:t xml:space="preserve">- </w:t>
      </w:r>
      <w:r w:rsidR="00A31C0B" w:rsidRPr="00385F5A">
        <w:rPr>
          <w:rFonts w:cstheme="minorHAnsi"/>
          <w:sz w:val="24"/>
          <w:szCs w:val="24"/>
          <w:lang w:val="en-US"/>
        </w:rPr>
        <w:t>whereby the latter ha</w:t>
      </w:r>
      <w:r w:rsidR="004A3213">
        <w:rPr>
          <w:rFonts w:cstheme="minorHAnsi"/>
          <w:sz w:val="24"/>
          <w:szCs w:val="24"/>
          <w:lang w:val="en-US"/>
        </w:rPr>
        <w:t>d</w:t>
      </w:r>
      <w:r w:rsidR="00A31C0B" w:rsidRPr="00385F5A">
        <w:rPr>
          <w:rFonts w:cstheme="minorHAnsi"/>
          <w:sz w:val="24"/>
          <w:szCs w:val="24"/>
          <w:lang w:val="en-US"/>
        </w:rPr>
        <w:t xml:space="preserve"> </w:t>
      </w:r>
      <w:r w:rsidR="004A3213">
        <w:rPr>
          <w:rFonts w:cstheme="minorHAnsi"/>
          <w:sz w:val="24"/>
          <w:szCs w:val="24"/>
          <w:lang w:val="en-US"/>
        </w:rPr>
        <w:t>less confidence or belief in being able to change practice</w:t>
      </w:r>
      <w:r w:rsidR="00A31C0B" w:rsidRPr="00385F5A">
        <w:rPr>
          <w:rFonts w:cstheme="minorHAnsi"/>
          <w:sz w:val="24"/>
          <w:szCs w:val="24"/>
          <w:lang w:val="en-US"/>
        </w:rPr>
        <w:t xml:space="preserve">. </w:t>
      </w:r>
    </w:p>
    <w:p w14:paraId="59A92310" w14:textId="77777777" w:rsidR="0046254A" w:rsidRDefault="0046254A" w:rsidP="000E31D2">
      <w:pPr>
        <w:spacing w:after="0" w:line="240" w:lineRule="auto"/>
        <w:rPr>
          <w:rFonts w:cstheme="minorHAnsi"/>
          <w:sz w:val="24"/>
          <w:szCs w:val="24"/>
          <w:lang w:val="en-US"/>
        </w:rPr>
      </w:pPr>
    </w:p>
    <w:p w14:paraId="1237FB50" w14:textId="3D631E9C" w:rsidR="00FD7A41" w:rsidRPr="00C4707E" w:rsidRDefault="000E636B" w:rsidP="00C4707E">
      <w:pPr>
        <w:pStyle w:val="Heading3"/>
        <w:rPr>
          <w:b/>
          <w:bCs/>
          <w:color w:val="000000" w:themeColor="text1"/>
          <w:sz w:val="28"/>
          <w:szCs w:val="28"/>
        </w:rPr>
      </w:pPr>
      <w:r w:rsidRPr="00C4707E">
        <w:rPr>
          <w:b/>
          <w:bCs/>
          <w:color w:val="000000" w:themeColor="text1"/>
          <w:sz w:val="28"/>
          <w:szCs w:val="28"/>
        </w:rPr>
        <w:t>Conclusion</w:t>
      </w:r>
    </w:p>
    <w:p w14:paraId="445EB618" w14:textId="4D74ADC4" w:rsidR="007C798B" w:rsidRPr="00C4707E" w:rsidRDefault="00BB6358" w:rsidP="000E31D2">
      <w:pPr>
        <w:spacing w:after="0" w:line="240" w:lineRule="auto"/>
        <w:rPr>
          <w:rFonts w:cstheme="minorHAnsi"/>
          <w:sz w:val="24"/>
          <w:szCs w:val="24"/>
        </w:rPr>
      </w:pPr>
      <w:r>
        <w:rPr>
          <w:rFonts w:eastAsiaTheme="majorEastAsia" w:cstheme="minorHAnsi"/>
          <w:sz w:val="24"/>
          <w:szCs w:val="24"/>
        </w:rPr>
        <w:t>This</w:t>
      </w:r>
      <w:r w:rsidR="00427D97" w:rsidRPr="00C95B42">
        <w:rPr>
          <w:rFonts w:eastAsiaTheme="majorEastAsia" w:cstheme="minorHAnsi"/>
          <w:sz w:val="24"/>
          <w:szCs w:val="24"/>
        </w:rPr>
        <w:t xml:space="preserve"> development of resources and training for project partner agencies showed </w:t>
      </w:r>
      <w:r>
        <w:rPr>
          <w:rFonts w:eastAsiaTheme="majorEastAsia" w:cstheme="minorHAnsi"/>
          <w:sz w:val="24"/>
          <w:szCs w:val="24"/>
        </w:rPr>
        <w:t xml:space="preserve">how </w:t>
      </w:r>
      <w:r w:rsidRPr="00C95B42">
        <w:rPr>
          <w:rFonts w:eastAsiaTheme="majorEastAsia" w:cstheme="minorHAnsi"/>
          <w:sz w:val="24"/>
          <w:szCs w:val="24"/>
        </w:rPr>
        <w:t xml:space="preserve">little was known about responding to substance use at end of life and how much more thinking and engagement was needed by practice partners ahead of significant changes to policy and practice. </w:t>
      </w:r>
      <w:r w:rsidR="00FD7A41" w:rsidRPr="00C95B42">
        <w:rPr>
          <w:rFonts w:cstheme="minorHAnsi"/>
          <w:sz w:val="24"/>
          <w:szCs w:val="24"/>
        </w:rPr>
        <w:t xml:space="preserve">There </w:t>
      </w:r>
      <w:r w:rsidR="00C97464">
        <w:rPr>
          <w:rFonts w:cstheme="minorHAnsi"/>
          <w:sz w:val="24"/>
          <w:szCs w:val="24"/>
        </w:rPr>
        <w:t xml:space="preserve">is </w:t>
      </w:r>
      <w:r w:rsidR="00FD7A41" w:rsidRPr="00C95B42">
        <w:rPr>
          <w:rFonts w:cstheme="minorHAnsi"/>
          <w:sz w:val="24"/>
          <w:szCs w:val="24"/>
        </w:rPr>
        <w:t xml:space="preserve">a need for better knowledge set within a clear policy framework to facilitate clear pathways to better more appropriate </w:t>
      </w:r>
      <w:r w:rsidR="00265EE2">
        <w:rPr>
          <w:rFonts w:cstheme="minorHAnsi"/>
          <w:sz w:val="24"/>
          <w:szCs w:val="24"/>
        </w:rPr>
        <w:t xml:space="preserve">care and </w:t>
      </w:r>
      <w:r w:rsidR="00FD7A41" w:rsidRPr="00C95B42">
        <w:rPr>
          <w:rFonts w:cstheme="minorHAnsi"/>
          <w:sz w:val="24"/>
          <w:szCs w:val="24"/>
        </w:rPr>
        <w:t>resources that avoid people facing stigma</w:t>
      </w:r>
      <w:r w:rsidR="00265EE2">
        <w:rPr>
          <w:rFonts w:cstheme="minorHAnsi"/>
          <w:sz w:val="24"/>
          <w:szCs w:val="24"/>
        </w:rPr>
        <w:t xml:space="preserve"> and </w:t>
      </w:r>
      <w:r w:rsidR="0023520C">
        <w:rPr>
          <w:rFonts w:cstheme="minorHAnsi"/>
          <w:sz w:val="24"/>
          <w:szCs w:val="24"/>
        </w:rPr>
        <w:t>unnecessary additional suffering</w:t>
      </w:r>
      <w:r w:rsidR="00FD7A41" w:rsidRPr="00C95B42">
        <w:rPr>
          <w:rFonts w:cstheme="minorHAnsi"/>
          <w:sz w:val="24"/>
          <w:szCs w:val="24"/>
        </w:rPr>
        <w:t xml:space="preserve"> at the end of their lives.</w:t>
      </w:r>
    </w:p>
    <w:sectPr w:rsidR="007C798B" w:rsidRPr="00C470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3FCF9" w14:textId="77777777" w:rsidR="00D2004E" w:rsidRDefault="00D2004E" w:rsidP="00901C97">
      <w:pPr>
        <w:spacing w:after="0" w:line="240" w:lineRule="auto"/>
      </w:pPr>
      <w:r>
        <w:separator/>
      </w:r>
    </w:p>
  </w:endnote>
  <w:endnote w:type="continuationSeparator" w:id="0">
    <w:p w14:paraId="3EAB0152" w14:textId="77777777" w:rsidR="00D2004E" w:rsidRDefault="00D2004E" w:rsidP="0090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328C" w14:textId="77777777" w:rsidR="00D2004E" w:rsidRDefault="00D2004E" w:rsidP="00901C97">
      <w:pPr>
        <w:spacing w:after="0" w:line="240" w:lineRule="auto"/>
      </w:pPr>
      <w:r>
        <w:separator/>
      </w:r>
    </w:p>
  </w:footnote>
  <w:footnote w:type="continuationSeparator" w:id="0">
    <w:p w14:paraId="6012F5FB" w14:textId="77777777" w:rsidR="00D2004E" w:rsidRDefault="00D2004E" w:rsidP="00901C97">
      <w:pPr>
        <w:spacing w:after="0" w:line="240" w:lineRule="auto"/>
      </w:pPr>
      <w:r>
        <w:continuationSeparator/>
      </w:r>
    </w:p>
  </w:footnote>
  <w:footnote w:id="1">
    <w:p w14:paraId="3F113F80" w14:textId="27CEA8DA" w:rsidR="00901C97" w:rsidRDefault="00901C97" w:rsidP="00931049">
      <w:pPr>
        <w:pStyle w:val="FootnoteText"/>
        <w:spacing w:line="216" w:lineRule="auto"/>
      </w:pPr>
      <w:r>
        <w:rPr>
          <w:rStyle w:val="FootnoteReference"/>
        </w:rPr>
        <w:footnoteRef/>
      </w:r>
      <w:r>
        <w:t xml:space="preserve"> The </w:t>
      </w:r>
      <w:r w:rsidR="009001B1">
        <w:t xml:space="preserve">original completion date was March 2022. The </w:t>
      </w:r>
      <w:r>
        <w:t xml:space="preserve">Covid-19 pandemic took hold in March 2020 resulting in a 14-month delay. </w:t>
      </w:r>
      <w:r w:rsidR="009001B1">
        <w:t>The</w:t>
      </w:r>
      <w:r>
        <w:t xml:space="preserve"> individual and structural impact of the pandemic and its after-effects</w:t>
      </w:r>
      <w:r w:rsidR="009C28F4">
        <w:t xml:space="preserve"> </w:t>
      </w:r>
      <w:r>
        <w:t>made completion</w:t>
      </w:r>
      <w:r w:rsidR="00AA07B2">
        <w:t xml:space="preserve"> of all the original aims</w:t>
      </w:r>
      <w:r>
        <w:t xml:space="preserve"> untenable.</w:t>
      </w:r>
    </w:p>
  </w:footnote>
  <w:footnote w:id="2">
    <w:p w14:paraId="17FBD261" w14:textId="77777777" w:rsidR="0075007F" w:rsidRDefault="0075007F" w:rsidP="00931049">
      <w:pPr>
        <w:pStyle w:val="FootnoteText"/>
        <w:spacing w:line="216" w:lineRule="auto"/>
      </w:pPr>
      <w:r>
        <w:rPr>
          <w:rStyle w:val="FootnoteReference"/>
        </w:rPr>
        <w:footnoteRef/>
      </w:r>
      <w:r>
        <w:t xml:space="preserve"> </w:t>
      </w:r>
      <w:r w:rsidRPr="00D82428">
        <w:rPr>
          <w:rFonts w:cstheme="minorHAnsi"/>
        </w:rPr>
        <w:t>A</w:t>
      </w:r>
      <w:r w:rsidRPr="00D82428">
        <w:rPr>
          <w:rFonts w:cstheme="minorHAnsi"/>
          <w:spacing w:val="-6"/>
        </w:rPr>
        <w:t xml:space="preserve"> </w:t>
      </w:r>
      <w:r w:rsidRPr="00D82428">
        <w:rPr>
          <w:rFonts w:cstheme="minorHAnsi"/>
          <w:b/>
        </w:rPr>
        <w:t>People</w:t>
      </w:r>
      <w:r w:rsidRPr="00D82428">
        <w:rPr>
          <w:rFonts w:cstheme="minorHAnsi"/>
          <w:b/>
          <w:spacing w:val="-5"/>
        </w:rPr>
        <w:t xml:space="preserve"> </w:t>
      </w:r>
      <w:r w:rsidRPr="00D82428">
        <w:rPr>
          <w:rFonts w:cstheme="minorHAnsi"/>
          <w:b/>
        </w:rPr>
        <w:t>with</w:t>
      </w:r>
      <w:r w:rsidRPr="00D82428">
        <w:rPr>
          <w:rFonts w:cstheme="minorHAnsi"/>
          <w:b/>
          <w:spacing w:val="-5"/>
        </w:rPr>
        <w:t xml:space="preserve"> </w:t>
      </w:r>
      <w:r w:rsidRPr="00D82428">
        <w:rPr>
          <w:rFonts w:cstheme="minorHAnsi"/>
          <w:b/>
        </w:rPr>
        <w:t>Experience</w:t>
      </w:r>
      <w:r w:rsidRPr="00D82428">
        <w:rPr>
          <w:rFonts w:cstheme="minorHAnsi"/>
          <w:b/>
          <w:spacing w:val="-4"/>
        </w:rPr>
        <w:t xml:space="preserve"> </w:t>
      </w:r>
      <w:r w:rsidRPr="00D82428">
        <w:rPr>
          <w:rFonts w:cstheme="minorHAnsi"/>
          <w:b/>
        </w:rPr>
        <w:t>Advisory</w:t>
      </w:r>
      <w:r w:rsidRPr="00D82428">
        <w:rPr>
          <w:rFonts w:cstheme="minorHAnsi"/>
          <w:b/>
          <w:spacing w:val="-5"/>
        </w:rPr>
        <w:t xml:space="preserve"> </w:t>
      </w:r>
      <w:r w:rsidRPr="00D82428">
        <w:rPr>
          <w:rFonts w:cstheme="minorHAnsi"/>
          <w:b/>
        </w:rPr>
        <w:t>Team</w:t>
      </w:r>
      <w:r w:rsidRPr="00D82428">
        <w:rPr>
          <w:rFonts w:cstheme="minorHAnsi"/>
          <w:b/>
          <w:spacing w:val="-5"/>
        </w:rPr>
        <w:t xml:space="preserve"> </w:t>
      </w:r>
      <w:r w:rsidRPr="00D82428">
        <w:rPr>
          <w:rFonts w:cstheme="minorHAnsi"/>
        </w:rPr>
        <w:t>(PEAT)</w:t>
      </w:r>
      <w:r w:rsidRPr="00D82428">
        <w:rPr>
          <w:rFonts w:cstheme="minorHAnsi"/>
          <w:spacing w:val="-6"/>
        </w:rPr>
        <w:t xml:space="preserve"> was established </w:t>
      </w:r>
      <w:r w:rsidRPr="00D82428">
        <w:rPr>
          <w:rFonts w:cstheme="minorHAnsi"/>
        </w:rPr>
        <w:t>to support and facilitate</w:t>
      </w:r>
      <w:r w:rsidRPr="00D82428">
        <w:rPr>
          <w:rFonts w:cstheme="minorHAnsi"/>
          <w:spacing w:val="-5"/>
        </w:rPr>
        <w:t xml:space="preserve"> the </w:t>
      </w:r>
      <w:r w:rsidRPr="00D82428">
        <w:rPr>
          <w:rFonts w:cstheme="minorHAnsi"/>
        </w:rPr>
        <w:t>involvement of p</w:t>
      </w:r>
      <w:r w:rsidRPr="00D82428">
        <w:rPr>
          <w:rFonts w:cstheme="minorHAnsi"/>
          <w:spacing w:val="-5"/>
        </w:rPr>
        <w:t xml:space="preserve">eople </w:t>
      </w:r>
      <w:r w:rsidRPr="00D82428">
        <w:rPr>
          <w:rFonts w:cstheme="minorHAnsi"/>
        </w:rPr>
        <w:t>lived experience of both substance use and end-of-life care in the project at a place and pace that took account of their needs.</w:t>
      </w:r>
    </w:p>
  </w:footnote>
  <w:footnote w:id="3">
    <w:p w14:paraId="2D32E204" w14:textId="026BFE14" w:rsidR="00914186" w:rsidRDefault="00914186" w:rsidP="00931049">
      <w:pPr>
        <w:pStyle w:val="FootnoteText"/>
        <w:spacing w:line="216" w:lineRule="auto"/>
      </w:pPr>
      <w:r>
        <w:rPr>
          <w:rStyle w:val="FootnoteReference"/>
        </w:rPr>
        <w:footnoteRef/>
      </w:r>
      <w:r>
        <w:t xml:space="preserve"> A more comprehensive research design was originally planned but could not be delivered due to the Covid-19 pandemic severely restrict</w:t>
      </w:r>
      <w:r w:rsidR="00CF7B4C">
        <w:t>ing</w:t>
      </w:r>
      <w:r>
        <w:t xml:space="preserve"> access to key participant groups.</w:t>
      </w:r>
    </w:p>
  </w:footnote>
  <w:footnote w:id="4">
    <w:p w14:paraId="78D9EBB4" w14:textId="53E6679D" w:rsidR="00722DC1" w:rsidRDefault="00722DC1" w:rsidP="00931049">
      <w:pPr>
        <w:pStyle w:val="FootnoteText"/>
        <w:spacing w:line="216" w:lineRule="auto"/>
      </w:pPr>
      <w:r>
        <w:rPr>
          <w:rStyle w:val="FootnoteReference"/>
        </w:rPr>
        <w:footnoteRef/>
      </w:r>
      <w:r>
        <w:t xml:space="preserve"> </w:t>
      </w:r>
      <w:r>
        <w:rPr>
          <w:rFonts w:cstheme="minorHAnsi"/>
        </w:rPr>
        <w:t>B</w:t>
      </w:r>
      <w:r w:rsidRPr="00413BCB">
        <w:rPr>
          <w:rFonts w:cstheme="minorHAnsi"/>
        </w:rPr>
        <w:t xml:space="preserve">ased on the Palliative care Outcomes Scales </w:t>
      </w:r>
      <w:r w:rsidR="004A3213">
        <w:rPr>
          <w:rFonts w:cstheme="minorHAnsi"/>
        </w:rPr>
        <w:t>(</w:t>
      </w:r>
      <w:r w:rsidRPr="00413BCB">
        <w:rPr>
          <w:rFonts w:cstheme="minorHAnsi"/>
        </w:rPr>
        <w:t>POS</w:t>
      </w:r>
      <w:r w:rsidR="004A3213">
        <w:rPr>
          <w:rFonts w:cstheme="minorHAnsi"/>
        </w:rPr>
        <w:t>)</w:t>
      </w:r>
      <w:r>
        <w:rPr>
          <w:rFonts w:cstheme="minorHAnsi"/>
        </w:rPr>
        <w:t>.</w:t>
      </w:r>
    </w:p>
  </w:footnote>
  <w:footnote w:id="5">
    <w:p w14:paraId="390089D4" w14:textId="64814654" w:rsidR="00942B9A" w:rsidRDefault="00942B9A" w:rsidP="00633ABD">
      <w:pPr>
        <w:spacing w:after="0" w:line="216" w:lineRule="auto"/>
      </w:pPr>
      <w:r>
        <w:rPr>
          <w:rStyle w:val="FootnoteReference"/>
        </w:rPr>
        <w:footnoteRef/>
      </w:r>
      <w:r>
        <w:t xml:space="preserve"> </w:t>
      </w:r>
      <w:r w:rsidRPr="00942B9A">
        <w:rPr>
          <w:sz w:val="20"/>
          <w:szCs w:val="20"/>
        </w:rPr>
        <w:t xml:space="preserve">The </w:t>
      </w:r>
      <w:r>
        <w:rPr>
          <w:sz w:val="20"/>
          <w:szCs w:val="20"/>
        </w:rPr>
        <w:t xml:space="preserve">training </w:t>
      </w:r>
      <w:r w:rsidRPr="00942B9A">
        <w:rPr>
          <w:sz w:val="20"/>
          <w:szCs w:val="20"/>
        </w:rPr>
        <w:t xml:space="preserve">evaluation used a bespoke 25-item questionnaire, </w:t>
      </w:r>
      <w:r>
        <w:rPr>
          <w:sz w:val="20"/>
          <w:szCs w:val="20"/>
        </w:rPr>
        <w:t xml:space="preserve">originally designed </w:t>
      </w:r>
      <w:r w:rsidRPr="00942B9A">
        <w:rPr>
          <w:sz w:val="20"/>
          <w:szCs w:val="20"/>
        </w:rPr>
        <w:t xml:space="preserve">to be </w:t>
      </w:r>
      <w:r>
        <w:rPr>
          <w:sz w:val="20"/>
          <w:szCs w:val="20"/>
        </w:rPr>
        <w:t xml:space="preserve">completed </w:t>
      </w:r>
      <w:r w:rsidR="00931049">
        <w:rPr>
          <w:sz w:val="20"/>
          <w:szCs w:val="20"/>
        </w:rPr>
        <w:t xml:space="preserve">prior to, </w:t>
      </w:r>
      <w:r w:rsidRPr="00942B9A">
        <w:rPr>
          <w:sz w:val="20"/>
          <w:szCs w:val="20"/>
        </w:rPr>
        <w:t xml:space="preserve">(T1) and within six weeks of </w:t>
      </w:r>
      <w:r w:rsidR="00931049">
        <w:rPr>
          <w:sz w:val="20"/>
          <w:szCs w:val="20"/>
        </w:rPr>
        <w:t xml:space="preserve">undertaking </w:t>
      </w:r>
      <w:r w:rsidRPr="00942B9A">
        <w:rPr>
          <w:sz w:val="20"/>
          <w:szCs w:val="20"/>
        </w:rPr>
        <w:t xml:space="preserve">training (T2). </w:t>
      </w:r>
      <w:r w:rsidR="00931049">
        <w:rPr>
          <w:sz w:val="20"/>
          <w:szCs w:val="20"/>
        </w:rPr>
        <w:t xml:space="preserve">Once again, </w:t>
      </w:r>
      <w:r w:rsidRPr="00942B9A">
        <w:rPr>
          <w:sz w:val="20"/>
          <w:szCs w:val="20"/>
        </w:rPr>
        <w:t xml:space="preserve">Covid reduced the opportunity to conduct a follow-up survey at T2, </w:t>
      </w:r>
      <w:r w:rsidR="00931049">
        <w:rPr>
          <w:sz w:val="20"/>
          <w:szCs w:val="20"/>
        </w:rPr>
        <w:t xml:space="preserve">so </w:t>
      </w:r>
      <w:r w:rsidRPr="00942B9A">
        <w:rPr>
          <w:sz w:val="20"/>
          <w:szCs w:val="20"/>
        </w:rPr>
        <w:t>only T1 data were analysed.</w:t>
      </w:r>
      <w:r w:rsidR="00633ABD">
        <w:rPr>
          <w:sz w:val="20"/>
          <w:szCs w:val="20"/>
        </w:rPr>
        <w:t xml:space="preserve"> </w:t>
      </w:r>
      <w:r w:rsidR="00633ABD" w:rsidRPr="00633ABD">
        <w:rPr>
          <w:sz w:val="20"/>
          <w:szCs w:val="20"/>
        </w:rPr>
        <w:t>There were 42 trainee responses of which 33 provided complete questionnaire responses.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792A"/>
    <w:multiLevelType w:val="hybridMultilevel"/>
    <w:tmpl w:val="0E24CC08"/>
    <w:lvl w:ilvl="0" w:tplc="425C11C2">
      <w:start w:val="1"/>
      <w:numFmt w:val="decimal"/>
      <w:lvlText w:val="%1."/>
      <w:lvlJc w:val="left"/>
      <w:pPr>
        <w:ind w:left="360" w:hanging="360"/>
      </w:pPr>
      <w:rPr>
        <w:rFonts w:hint="default"/>
        <w:b w:val="0"/>
        <w:bCs/>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DB4467"/>
    <w:multiLevelType w:val="hybridMultilevel"/>
    <w:tmpl w:val="DE14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B315E"/>
    <w:multiLevelType w:val="hybridMultilevel"/>
    <w:tmpl w:val="C644B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295078"/>
    <w:multiLevelType w:val="hybridMultilevel"/>
    <w:tmpl w:val="90C44A88"/>
    <w:lvl w:ilvl="0" w:tplc="DAB015A4">
      <w:start w:val="1"/>
      <w:numFmt w:val="lowerRoman"/>
      <w:lvlText w:val="%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9858C9"/>
    <w:multiLevelType w:val="hybridMultilevel"/>
    <w:tmpl w:val="791ED986"/>
    <w:lvl w:ilvl="0" w:tplc="73A63B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036423"/>
    <w:multiLevelType w:val="hybridMultilevel"/>
    <w:tmpl w:val="DB04B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2213204">
    <w:abstractNumId w:val="0"/>
  </w:num>
  <w:num w:numId="2" w16cid:durableId="1109815170">
    <w:abstractNumId w:val="4"/>
  </w:num>
  <w:num w:numId="3" w16cid:durableId="355808172">
    <w:abstractNumId w:val="5"/>
  </w:num>
  <w:num w:numId="4" w16cid:durableId="190805785">
    <w:abstractNumId w:val="3"/>
  </w:num>
  <w:num w:numId="5" w16cid:durableId="1392190260">
    <w:abstractNumId w:val="1"/>
  </w:num>
  <w:num w:numId="6" w16cid:durableId="1189560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CB"/>
    <w:rsid w:val="00000D99"/>
    <w:rsid w:val="00001FD9"/>
    <w:rsid w:val="00021398"/>
    <w:rsid w:val="000545E2"/>
    <w:rsid w:val="000724A2"/>
    <w:rsid w:val="00074489"/>
    <w:rsid w:val="0008498F"/>
    <w:rsid w:val="00097CC9"/>
    <w:rsid w:val="000A73CC"/>
    <w:rsid w:val="000C1F21"/>
    <w:rsid w:val="000E31D2"/>
    <w:rsid w:val="000E598D"/>
    <w:rsid w:val="000E636B"/>
    <w:rsid w:val="00100095"/>
    <w:rsid w:val="001022C0"/>
    <w:rsid w:val="00102D3B"/>
    <w:rsid w:val="00117FE6"/>
    <w:rsid w:val="00120893"/>
    <w:rsid w:val="00125245"/>
    <w:rsid w:val="001275AB"/>
    <w:rsid w:val="00135AB5"/>
    <w:rsid w:val="00136052"/>
    <w:rsid w:val="00172021"/>
    <w:rsid w:val="0018029F"/>
    <w:rsid w:val="001A0B42"/>
    <w:rsid w:val="001A5EAD"/>
    <w:rsid w:val="001C1A4E"/>
    <w:rsid w:val="001D4B11"/>
    <w:rsid w:val="001E442B"/>
    <w:rsid w:val="001E73BE"/>
    <w:rsid w:val="001E7495"/>
    <w:rsid w:val="0023114B"/>
    <w:rsid w:val="00232BCA"/>
    <w:rsid w:val="0023520C"/>
    <w:rsid w:val="00255581"/>
    <w:rsid w:val="00255AF9"/>
    <w:rsid w:val="00265EE2"/>
    <w:rsid w:val="002804A5"/>
    <w:rsid w:val="0029178C"/>
    <w:rsid w:val="002B09E8"/>
    <w:rsid w:val="002B27E8"/>
    <w:rsid w:val="002B35CC"/>
    <w:rsid w:val="002B7649"/>
    <w:rsid w:val="002F17BE"/>
    <w:rsid w:val="002F73D5"/>
    <w:rsid w:val="00303A72"/>
    <w:rsid w:val="00321DE1"/>
    <w:rsid w:val="00323972"/>
    <w:rsid w:val="00365BC0"/>
    <w:rsid w:val="003754E4"/>
    <w:rsid w:val="0038297C"/>
    <w:rsid w:val="00385F5A"/>
    <w:rsid w:val="003A226B"/>
    <w:rsid w:val="003B3CAF"/>
    <w:rsid w:val="003C39D6"/>
    <w:rsid w:val="003D0254"/>
    <w:rsid w:val="003D4C57"/>
    <w:rsid w:val="003E69C1"/>
    <w:rsid w:val="003E6AA8"/>
    <w:rsid w:val="004055AB"/>
    <w:rsid w:val="00410727"/>
    <w:rsid w:val="00413BCB"/>
    <w:rsid w:val="00427D97"/>
    <w:rsid w:val="00430CE1"/>
    <w:rsid w:val="00433D80"/>
    <w:rsid w:val="0046254A"/>
    <w:rsid w:val="004A3213"/>
    <w:rsid w:val="004C48B6"/>
    <w:rsid w:val="004D0479"/>
    <w:rsid w:val="004D5956"/>
    <w:rsid w:val="004E7350"/>
    <w:rsid w:val="004F121D"/>
    <w:rsid w:val="005016EA"/>
    <w:rsid w:val="00534C13"/>
    <w:rsid w:val="00562E35"/>
    <w:rsid w:val="00594407"/>
    <w:rsid w:val="005A229D"/>
    <w:rsid w:val="005A3825"/>
    <w:rsid w:val="005F36A2"/>
    <w:rsid w:val="005F6DBB"/>
    <w:rsid w:val="0060450E"/>
    <w:rsid w:val="00611C8D"/>
    <w:rsid w:val="00612836"/>
    <w:rsid w:val="006132B1"/>
    <w:rsid w:val="00633ABD"/>
    <w:rsid w:val="00642A2C"/>
    <w:rsid w:val="00650575"/>
    <w:rsid w:val="006546BF"/>
    <w:rsid w:val="006929C9"/>
    <w:rsid w:val="00694376"/>
    <w:rsid w:val="006A284A"/>
    <w:rsid w:val="006B51D3"/>
    <w:rsid w:val="006C362A"/>
    <w:rsid w:val="006C3E10"/>
    <w:rsid w:val="006D58F8"/>
    <w:rsid w:val="006E7F07"/>
    <w:rsid w:val="00704608"/>
    <w:rsid w:val="00707BBC"/>
    <w:rsid w:val="007127FA"/>
    <w:rsid w:val="00716BD2"/>
    <w:rsid w:val="00721F42"/>
    <w:rsid w:val="00722DC1"/>
    <w:rsid w:val="00731DBF"/>
    <w:rsid w:val="00742499"/>
    <w:rsid w:val="0075007F"/>
    <w:rsid w:val="00755AA5"/>
    <w:rsid w:val="00764C3F"/>
    <w:rsid w:val="0078088C"/>
    <w:rsid w:val="00796812"/>
    <w:rsid w:val="007A3487"/>
    <w:rsid w:val="007B01B5"/>
    <w:rsid w:val="007B68B8"/>
    <w:rsid w:val="007C3641"/>
    <w:rsid w:val="007C798B"/>
    <w:rsid w:val="007D0E7F"/>
    <w:rsid w:val="007D7848"/>
    <w:rsid w:val="007F5DFD"/>
    <w:rsid w:val="00822A61"/>
    <w:rsid w:val="0083143E"/>
    <w:rsid w:val="00833B4C"/>
    <w:rsid w:val="00843D36"/>
    <w:rsid w:val="008576C6"/>
    <w:rsid w:val="008825EE"/>
    <w:rsid w:val="008838D6"/>
    <w:rsid w:val="008B4185"/>
    <w:rsid w:val="008C2F83"/>
    <w:rsid w:val="008C7D92"/>
    <w:rsid w:val="008D7DAF"/>
    <w:rsid w:val="009001B1"/>
    <w:rsid w:val="00901C97"/>
    <w:rsid w:val="00914186"/>
    <w:rsid w:val="00922BE0"/>
    <w:rsid w:val="00931049"/>
    <w:rsid w:val="009351CE"/>
    <w:rsid w:val="009366DC"/>
    <w:rsid w:val="00942310"/>
    <w:rsid w:val="00942B9A"/>
    <w:rsid w:val="0095288C"/>
    <w:rsid w:val="0095456E"/>
    <w:rsid w:val="00972CE4"/>
    <w:rsid w:val="00983015"/>
    <w:rsid w:val="009912C9"/>
    <w:rsid w:val="0099145B"/>
    <w:rsid w:val="00992D2F"/>
    <w:rsid w:val="009A3073"/>
    <w:rsid w:val="009A5D3B"/>
    <w:rsid w:val="009B13A0"/>
    <w:rsid w:val="009C28F4"/>
    <w:rsid w:val="009D2DCA"/>
    <w:rsid w:val="009E0D40"/>
    <w:rsid w:val="009F652C"/>
    <w:rsid w:val="00A25FA4"/>
    <w:rsid w:val="00A31C0B"/>
    <w:rsid w:val="00A42C6A"/>
    <w:rsid w:val="00A53F5C"/>
    <w:rsid w:val="00A54F9F"/>
    <w:rsid w:val="00A7347D"/>
    <w:rsid w:val="00A74F88"/>
    <w:rsid w:val="00A80C0F"/>
    <w:rsid w:val="00A90636"/>
    <w:rsid w:val="00AA07B2"/>
    <w:rsid w:val="00AC3A3C"/>
    <w:rsid w:val="00AD528E"/>
    <w:rsid w:val="00AE584C"/>
    <w:rsid w:val="00B01603"/>
    <w:rsid w:val="00B067B1"/>
    <w:rsid w:val="00B133DD"/>
    <w:rsid w:val="00B14A17"/>
    <w:rsid w:val="00B17881"/>
    <w:rsid w:val="00B22838"/>
    <w:rsid w:val="00B27099"/>
    <w:rsid w:val="00B574F7"/>
    <w:rsid w:val="00B607F0"/>
    <w:rsid w:val="00B64A8B"/>
    <w:rsid w:val="00B65082"/>
    <w:rsid w:val="00B66650"/>
    <w:rsid w:val="00B9023A"/>
    <w:rsid w:val="00B92945"/>
    <w:rsid w:val="00BB6358"/>
    <w:rsid w:val="00BC360F"/>
    <w:rsid w:val="00BE0157"/>
    <w:rsid w:val="00BF4EDB"/>
    <w:rsid w:val="00C17EAC"/>
    <w:rsid w:val="00C2344B"/>
    <w:rsid w:val="00C27B51"/>
    <w:rsid w:val="00C36148"/>
    <w:rsid w:val="00C42EB1"/>
    <w:rsid w:val="00C4707E"/>
    <w:rsid w:val="00C5547E"/>
    <w:rsid w:val="00C62197"/>
    <w:rsid w:val="00C64453"/>
    <w:rsid w:val="00C82BC3"/>
    <w:rsid w:val="00C91E03"/>
    <w:rsid w:val="00C97464"/>
    <w:rsid w:val="00CB32F8"/>
    <w:rsid w:val="00CC7783"/>
    <w:rsid w:val="00CD2AA1"/>
    <w:rsid w:val="00CD715E"/>
    <w:rsid w:val="00CD7941"/>
    <w:rsid w:val="00CF7B4C"/>
    <w:rsid w:val="00D109B7"/>
    <w:rsid w:val="00D13A3F"/>
    <w:rsid w:val="00D2004E"/>
    <w:rsid w:val="00D21D36"/>
    <w:rsid w:val="00D2617C"/>
    <w:rsid w:val="00D7163C"/>
    <w:rsid w:val="00D72E9A"/>
    <w:rsid w:val="00D7328E"/>
    <w:rsid w:val="00D82428"/>
    <w:rsid w:val="00D836C9"/>
    <w:rsid w:val="00DA085E"/>
    <w:rsid w:val="00DB34DE"/>
    <w:rsid w:val="00DE51FE"/>
    <w:rsid w:val="00DE738A"/>
    <w:rsid w:val="00DF2DDA"/>
    <w:rsid w:val="00DF6170"/>
    <w:rsid w:val="00E039E3"/>
    <w:rsid w:val="00E1064C"/>
    <w:rsid w:val="00E110DB"/>
    <w:rsid w:val="00E20221"/>
    <w:rsid w:val="00E22D18"/>
    <w:rsid w:val="00E248A3"/>
    <w:rsid w:val="00E26430"/>
    <w:rsid w:val="00E57951"/>
    <w:rsid w:val="00E71041"/>
    <w:rsid w:val="00E83444"/>
    <w:rsid w:val="00EA28F4"/>
    <w:rsid w:val="00EA57F5"/>
    <w:rsid w:val="00EC3281"/>
    <w:rsid w:val="00EC53AE"/>
    <w:rsid w:val="00ED6E23"/>
    <w:rsid w:val="00EE4B3C"/>
    <w:rsid w:val="00F22A34"/>
    <w:rsid w:val="00F2517B"/>
    <w:rsid w:val="00F410BA"/>
    <w:rsid w:val="00F51A3C"/>
    <w:rsid w:val="00F7003F"/>
    <w:rsid w:val="00F82401"/>
    <w:rsid w:val="00F84F65"/>
    <w:rsid w:val="00F86F0D"/>
    <w:rsid w:val="00F91EDE"/>
    <w:rsid w:val="00FA0BC7"/>
    <w:rsid w:val="00FB0232"/>
    <w:rsid w:val="00FB07D8"/>
    <w:rsid w:val="00FB1187"/>
    <w:rsid w:val="00FB5778"/>
    <w:rsid w:val="00FD10EB"/>
    <w:rsid w:val="00FD7A41"/>
    <w:rsid w:val="00FE2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2701D"/>
  <w15:chartTrackingRefBased/>
  <w15:docId w15:val="{2586C866-A057-4434-956F-78644EA3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A41"/>
  </w:style>
  <w:style w:type="paragraph" w:styleId="Heading1">
    <w:name w:val="heading 1"/>
    <w:basedOn w:val="Normal"/>
    <w:next w:val="Normal"/>
    <w:link w:val="Heading1Char"/>
    <w:uiPriority w:val="9"/>
    <w:qFormat/>
    <w:rsid w:val="00694376"/>
    <w:pPr>
      <w:shd w:val="clear" w:color="auto" w:fill="D9E2F3" w:themeFill="accent1" w:themeFillTint="33"/>
      <w:outlineLvl w:val="0"/>
    </w:pPr>
    <w:rPr>
      <w:rFonts w:cstheme="minorHAnsi"/>
      <w:b/>
      <w:bCs/>
      <w:sz w:val="28"/>
      <w:szCs w:val="28"/>
    </w:rPr>
  </w:style>
  <w:style w:type="paragraph" w:styleId="Heading2">
    <w:name w:val="heading 2"/>
    <w:basedOn w:val="Normal"/>
    <w:next w:val="Normal"/>
    <w:link w:val="Heading2Char"/>
    <w:uiPriority w:val="9"/>
    <w:unhideWhenUsed/>
    <w:qFormat/>
    <w:rsid w:val="00C470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70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BCB"/>
    <w:pPr>
      <w:spacing w:after="0" w:line="240" w:lineRule="auto"/>
      <w:ind w:left="720"/>
      <w:contextualSpacing/>
    </w:pPr>
    <w:rPr>
      <w:rFonts w:ascii="Calibri" w:eastAsiaTheme="minorEastAsia" w:hAnsi="Calibri" w:cs="Calibri"/>
      <w:sz w:val="24"/>
      <w:szCs w:val="24"/>
    </w:rPr>
  </w:style>
  <w:style w:type="paragraph" w:styleId="BodyText">
    <w:name w:val="Body Text"/>
    <w:basedOn w:val="Normal"/>
    <w:link w:val="BodyTextChar"/>
    <w:uiPriority w:val="1"/>
    <w:qFormat/>
    <w:rsid w:val="00413BCB"/>
    <w:pPr>
      <w:widowControl w:val="0"/>
      <w:spacing w:after="0" w:line="240" w:lineRule="auto"/>
      <w:ind w:left="190"/>
    </w:pPr>
    <w:rPr>
      <w:rFonts w:ascii="Arial" w:eastAsia="Arial" w:hAnsi="Arial" w:cs="Calibri"/>
      <w:sz w:val="20"/>
      <w:szCs w:val="20"/>
      <w:lang w:val="en-US"/>
    </w:rPr>
  </w:style>
  <w:style w:type="character" w:customStyle="1" w:styleId="BodyTextChar">
    <w:name w:val="Body Text Char"/>
    <w:basedOn w:val="DefaultParagraphFont"/>
    <w:link w:val="BodyText"/>
    <w:uiPriority w:val="1"/>
    <w:rsid w:val="00413BCB"/>
    <w:rPr>
      <w:rFonts w:ascii="Arial" w:eastAsia="Arial" w:hAnsi="Arial" w:cs="Calibri"/>
      <w:sz w:val="20"/>
      <w:szCs w:val="20"/>
      <w:lang w:val="en-US"/>
    </w:rPr>
  </w:style>
  <w:style w:type="table" w:styleId="TableGrid">
    <w:name w:val="Table Grid"/>
    <w:basedOn w:val="TableNormal"/>
    <w:uiPriority w:val="39"/>
    <w:rsid w:val="002F17BE"/>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1C97"/>
    <w:rPr>
      <w:sz w:val="16"/>
      <w:szCs w:val="16"/>
    </w:rPr>
  </w:style>
  <w:style w:type="paragraph" w:styleId="CommentText">
    <w:name w:val="annotation text"/>
    <w:basedOn w:val="Normal"/>
    <w:link w:val="CommentTextChar"/>
    <w:uiPriority w:val="99"/>
    <w:semiHidden/>
    <w:unhideWhenUsed/>
    <w:rsid w:val="00901C97"/>
    <w:pPr>
      <w:spacing w:after="0" w:line="240" w:lineRule="auto"/>
    </w:pPr>
    <w:rPr>
      <w:rFonts w:ascii="Calibri" w:eastAsiaTheme="minorEastAsia" w:hAnsi="Calibri" w:cs="Calibri"/>
      <w:sz w:val="20"/>
      <w:szCs w:val="20"/>
    </w:rPr>
  </w:style>
  <w:style w:type="character" w:customStyle="1" w:styleId="CommentTextChar">
    <w:name w:val="Comment Text Char"/>
    <w:basedOn w:val="DefaultParagraphFont"/>
    <w:link w:val="CommentText"/>
    <w:uiPriority w:val="99"/>
    <w:semiHidden/>
    <w:rsid w:val="00901C97"/>
    <w:rPr>
      <w:rFonts w:ascii="Calibri" w:eastAsiaTheme="minorEastAsia" w:hAnsi="Calibri" w:cs="Calibri"/>
      <w:sz w:val="20"/>
      <w:szCs w:val="20"/>
    </w:rPr>
  </w:style>
  <w:style w:type="paragraph" w:styleId="FootnoteText">
    <w:name w:val="footnote text"/>
    <w:basedOn w:val="Normal"/>
    <w:link w:val="FootnoteTextChar"/>
    <w:uiPriority w:val="99"/>
    <w:semiHidden/>
    <w:unhideWhenUsed/>
    <w:rsid w:val="00901C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1C97"/>
    <w:rPr>
      <w:sz w:val="20"/>
      <w:szCs w:val="20"/>
    </w:rPr>
  </w:style>
  <w:style w:type="character" w:styleId="FootnoteReference">
    <w:name w:val="footnote reference"/>
    <w:basedOn w:val="DefaultParagraphFont"/>
    <w:uiPriority w:val="99"/>
    <w:semiHidden/>
    <w:unhideWhenUsed/>
    <w:rsid w:val="00901C97"/>
    <w:rPr>
      <w:vertAlign w:val="superscript"/>
    </w:rPr>
  </w:style>
  <w:style w:type="character" w:styleId="Hyperlink">
    <w:name w:val="Hyperlink"/>
    <w:basedOn w:val="DefaultParagraphFont"/>
    <w:uiPriority w:val="99"/>
    <w:unhideWhenUsed/>
    <w:rsid w:val="004F121D"/>
    <w:rPr>
      <w:color w:val="0563C1" w:themeColor="hyperlink"/>
      <w:u w:val="single"/>
    </w:rPr>
  </w:style>
  <w:style w:type="character" w:styleId="UnresolvedMention">
    <w:name w:val="Unresolved Mention"/>
    <w:basedOn w:val="DefaultParagraphFont"/>
    <w:uiPriority w:val="99"/>
    <w:semiHidden/>
    <w:unhideWhenUsed/>
    <w:rsid w:val="004F121D"/>
    <w:rPr>
      <w:color w:val="605E5C"/>
      <w:shd w:val="clear" w:color="auto" w:fill="E1DFDD"/>
    </w:rPr>
  </w:style>
  <w:style w:type="paragraph" w:styleId="Revision">
    <w:name w:val="Revision"/>
    <w:hidden/>
    <w:uiPriority w:val="99"/>
    <w:semiHidden/>
    <w:rsid w:val="00AA07B2"/>
    <w:pPr>
      <w:spacing w:after="0" w:line="240" w:lineRule="auto"/>
    </w:pPr>
  </w:style>
  <w:style w:type="paragraph" w:styleId="CommentSubject">
    <w:name w:val="annotation subject"/>
    <w:basedOn w:val="CommentText"/>
    <w:next w:val="CommentText"/>
    <w:link w:val="CommentSubjectChar"/>
    <w:uiPriority w:val="99"/>
    <w:semiHidden/>
    <w:unhideWhenUsed/>
    <w:rsid w:val="00A53F5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53F5C"/>
    <w:rPr>
      <w:rFonts w:ascii="Calibri" w:eastAsiaTheme="minorEastAsia" w:hAnsi="Calibri" w:cs="Calibri"/>
      <w:b/>
      <w:bCs/>
      <w:sz w:val="20"/>
      <w:szCs w:val="20"/>
    </w:rPr>
  </w:style>
  <w:style w:type="character" w:customStyle="1" w:styleId="Heading1Char">
    <w:name w:val="Heading 1 Char"/>
    <w:basedOn w:val="DefaultParagraphFont"/>
    <w:link w:val="Heading1"/>
    <w:uiPriority w:val="9"/>
    <w:rsid w:val="00694376"/>
    <w:rPr>
      <w:rFonts w:cstheme="minorHAnsi"/>
      <w:b/>
      <w:bCs/>
      <w:sz w:val="28"/>
      <w:szCs w:val="28"/>
      <w:shd w:val="clear" w:color="auto" w:fill="D9E2F3" w:themeFill="accent1" w:themeFillTint="33"/>
    </w:rPr>
  </w:style>
  <w:style w:type="paragraph" w:styleId="NormalWeb">
    <w:name w:val="Normal (Web)"/>
    <w:basedOn w:val="Normal"/>
    <w:uiPriority w:val="99"/>
    <w:unhideWhenUsed/>
    <w:rsid w:val="006E7F0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2Char">
    <w:name w:val="Heading 2 Char"/>
    <w:basedOn w:val="DefaultParagraphFont"/>
    <w:link w:val="Heading2"/>
    <w:uiPriority w:val="9"/>
    <w:rsid w:val="00C4707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470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707E"/>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4707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doflifecaresubstance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BE1B0-2D3F-43D2-8660-2F16F10E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Wright</dc:creator>
  <cp:keywords/>
  <dc:description/>
  <cp:lastModifiedBy>Karl Turner</cp:lastModifiedBy>
  <cp:revision>2</cp:revision>
  <dcterms:created xsi:type="dcterms:W3CDTF">2023-03-29T16:59:00Z</dcterms:created>
  <dcterms:modified xsi:type="dcterms:W3CDTF">2023-03-29T16:59:00Z</dcterms:modified>
</cp:coreProperties>
</file>