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3104" w14:textId="45EF3DC6" w:rsidR="003048DB" w:rsidRDefault="006B35E9" w:rsidP="003048DB">
      <w:pPr>
        <w:jc w:val="right"/>
        <w:rPr>
          <w:b/>
          <w:bCs/>
          <w:color w:val="FF0000"/>
        </w:rPr>
      </w:pPr>
      <w:r>
        <w:rPr>
          <w:noProof/>
        </w:rPr>
        <w:drawing>
          <wp:inline distT="0" distB="0" distL="0" distR="0" wp14:anchorId="0D4C958B" wp14:editId="67928EC0">
            <wp:extent cx="1591310" cy="615950"/>
            <wp:effectExtent l="0" t="0" r="8890" b="0"/>
            <wp:docPr id="9715826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591310" cy="615950"/>
                    </a:xfrm>
                    <a:prstGeom prst="rect">
                      <a:avLst/>
                    </a:prstGeom>
                  </pic:spPr>
                </pic:pic>
              </a:graphicData>
            </a:graphic>
          </wp:inline>
        </w:drawing>
      </w:r>
    </w:p>
    <w:p w14:paraId="62124B14" w14:textId="77777777" w:rsidR="003048DB" w:rsidRDefault="003048DB" w:rsidP="003048DB">
      <w:pPr>
        <w:jc w:val="center"/>
        <w:rPr>
          <w:b/>
          <w:bCs/>
          <w:color w:val="000000" w:themeColor="text1"/>
          <w:sz w:val="28"/>
          <w:szCs w:val="28"/>
        </w:rPr>
      </w:pPr>
    </w:p>
    <w:p w14:paraId="4630F704" w14:textId="0F23072B" w:rsidR="003048DB" w:rsidRDefault="003048DB" w:rsidP="000C3E27">
      <w:pPr>
        <w:jc w:val="center"/>
        <w:rPr>
          <w:b/>
          <w:bCs/>
          <w:color w:val="FF0000"/>
        </w:rPr>
      </w:pPr>
      <w:r>
        <w:rPr>
          <w:b/>
          <w:bCs/>
          <w:color w:val="000000" w:themeColor="text1"/>
          <w:sz w:val="28"/>
          <w:szCs w:val="28"/>
        </w:rPr>
        <w:t>STANDARD OPERATING PROCEDURE</w:t>
      </w:r>
    </w:p>
    <w:p w14:paraId="5F813256" w14:textId="77777777" w:rsidR="003048DB" w:rsidRPr="00C92953" w:rsidRDefault="003048DB" w:rsidP="003048DB">
      <w:pPr>
        <w:rPr>
          <w:b/>
          <w:bCs/>
          <w:color w:val="FF0000"/>
        </w:rPr>
      </w:pPr>
    </w:p>
    <w:tbl>
      <w:tblPr>
        <w:tblStyle w:val="TableGrid"/>
        <w:tblW w:w="0" w:type="auto"/>
        <w:jc w:val="center"/>
        <w:tblLook w:val="04A0" w:firstRow="1" w:lastRow="0" w:firstColumn="1" w:lastColumn="0" w:noHBand="0" w:noVBand="1"/>
      </w:tblPr>
      <w:tblGrid>
        <w:gridCol w:w="4508"/>
        <w:gridCol w:w="4508"/>
      </w:tblGrid>
      <w:tr w:rsidR="003048DB" w14:paraId="7DC7A616" w14:textId="77777777" w:rsidTr="000C3E27">
        <w:trPr>
          <w:trHeight w:hRule="exact" w:val="567"/>
          <w:jc w:val="center"/>
        </w:trPr>
        <w:tc>
          <w:tcPr>
            <w:tcW w:w="4508" w:type="dxa"/>
            <w:vAlign w:val="center"/>
          </w:tcPr>
          <w:p w14:paraId="7A74FDEE" w14:textId="77777777" w:rsidR="003048DB" w:rsidRPr="00C92953" w:rsidRDefault="003048DB" w:rsidP="00807F12">
            <w:pPr>
              <w:jc w:val="center"/>
              <w:rPr>
                <w:b/>
                <w:bCs/>
              </w:rPr>
            </w:pPr>
            <w:r w:rsidRPr="00C92953">
              <w:rPr>
                <w:b/>
                <w:bCs/>
              </w:rPr>
              <w:t>Re</w:t>
            </w:r>
            <w:r>
              <w:rPr>
                <w:b/>
                <w:bCs/>
              </w:rPr>
              <w:t>ference Number</w:t>
            </w:r>
          </w:p>
        </w:tc>
        <w:tc>
          <w:tcPr>
            <w:tcW w:w="4508" w:type="dxa"/>
            <w:vAlign w:val="center"/>
          </w:tcPr>
          <w:p w14:paraId="753E9ADA" w14:textId="524A946A" w:rsidR="003048DB" w:rsidRPr="00C92953" w:rsidRDefault="003048DB" w:rsidP="00807F12">
            <w:pPr>
              <w:jc w:val="center"/>
              <w:rPr>
                <w:b/>
                <w:bCs/>
              </w:rPr>
            </w:pPr>
            <w:r>
              <w:rPr>
                <w:b/>
                <w:bCs/>
              </w:rPr>
              <w:t>MMUHTA</w:t>
            </w:r>
            <w:r w:rsidR="00951C97">
              <w:rPr>
                <w:b/>
                <w:bCs/>
              </w:rPr>
              <w:t>_</w:t>
            </w:r>
            <w:r>
              <w:rPr>
                <w:b/>
                <w:bCs/>
              </w:rPr>
              <w:t>004</w:t>
            </w:r>
          </w:p>
        </w:tc>
      </w:tr>
      <w:tr w:rsidR="003261F4" w14:paraId="11244893" w14:textId="77777777" w:rsidTr="000C3E27">
        <w:trPr>
          <w:trHeight w:hRule="exact" w:val="567"/>
          <w:jc w:val="center"/>
        </w:trPr>
        <w:tc>
          <w:tcPr>
            <w:tcW w:w="4508" w:type="dxa"/>
            <w:vAlign w:val="center"/>
          </w:tcPr>
          <w:p w14:paraId="42CB1D35" w14:textId="2498858B" w:rsidR="003261F4" w:rsidRDefault="003261F4" w:rsidP="00807F12">
            <w:pPr>
              <w:jc w:val="center"/>
              <w:rPr>
                <w:b/>
                <w:bCs/>
              </w:rPr>
            </w:pPr>
            <w:r>
              <w:rPr>
                <w:b/>
                <w:bCs/>
              </w:rPr>
              <w:t>Title</w:t>
            </w:r>
          </w:p>
        </w:tc>
        <w:tc>
          <w:tcPr>
            <w:tcW w:w="4508" w:type="dxa"/>
            <w:vAlign w:val="center"/>
          </w:tcPr>
          <w:p w14:paraId="052C5778" w14:textId="525B4FF3" w:rsidR="003261F4" w:rsidRPr="003261F4" w:rsidRDefault="00951C97" w:rsidP="00870429">
            <w:pPr>
              <w:jc w:val="center"/>
              <w:rPr>
                <w:b/>
                <w:bCs/>
              </w:rPr>
            </w:pPr>
            <w:r w:rsidRPr="003261F4">
              <w:rPr>
                <w:b/>
                <w:bCs/>
                <w:color w:val="000000" w:themeColor="text1"/>
              </w:rPr>
              <w:t>Transport Of Human Tissue</w:t>
            </w:r>
          </w:p>
        </w:tc>
      </w:tr>
      <w:tr w:rsidR="003261F4" w14:paraId="2DFA9FF3" w14:textId="77777777" w:rsidTr="000C3E27">
        <w:trPr>
          <w:trHeight w:hRule="exact" w:val="567"/>
          <w:jc w:val="center"/>
        </w:trPr>
        <w:tc>
          <w:tcPr>
            <w:tcW w:w="4508" w:type="dxa"/>
            <w:vAlign w:val="center"/>
          </w:tcPr>
          <w:p w14:paraId="6F3B94CC" w14:textId="77777777" w:rsidR="003261F4" w:rsidRPr="00C92953" w:rsidRDefault="003261F4" w:rsidP="003261F4">
            <w:pPr>
              <w:jc w:val="center"/>
              <w:rPr>
                <w:b/>
                <w:bCs/>
              </w:rPr>
            </w:pPr>
            <w:r>
              <w:rPr>
                <w:b/>
                <w:bCs/>
              </w:rPr>
              <w:t>Effective Date</w:t>
            </w:r>
          </w:p>
        </w:tc>
        <w:tc>
          <w:tcPr>
            <w:tcW w:w="4508" w:type="dxa"/>
            <w:vAlign w:val="center"/>
          </w:tcPr>
          <w:p w14:paraId="5BC84B39" w14:textId="7EAE1A5F" w:rsidR="003261F4" w:rsidRPr="00C92953" w:rsidRDefault="000164EF" w:rsidP="003261F4">
            <w:pPr>
              <w:jc w:val="center"/>
              <w:rPr>
                <w:b/>
                <w:bCs/>
              </w:rPr>
            </w:pPr>
            <w:r>
              <w:rPr>
                <w:b/>
                <w:bCs/>
              </w:rPr>
              <w:t>30</w:t>
            </w:r>
            <w:r w:rsidRPr="000164EF">
              <w:rPr>
                <w:b/>
                <w:bCs/>
                <w:vertAlign w:val="superscript"/>
              </w:rPr>
              <w:t>th</w:t>
            </w:r>
            <w:r>
              <w:rPr>
                <w:b/>
                <w:bCs/>
              </w:rPr>
              <w:t xml:space="preserve"> January 2023</w:t>
            </w:r>
          </w:p>
        </w:tc>
      </w:tr>
      <w:tr w:rsidR="003261F4" w14:paraId="49ECC39B" w14:textId="77777777" w:rsidTr="000C3E27">
        <w:trPr>
          <w:trHeight w:hRule="exact" w:val="567"/>
          <w:jc w:val="center"/>
        </w:trPr>
        <w:tc>
          <w:tcPr>
            <w:tcW w:w="4508" w:type="dxa"/>
            <w:vAlign w:val="center"/>
          </w:tcPr>
          <w:p w14:paraId="02D709BE" w14:textId="77777777" w:rsidR="003261F4" w:rsidRPr="00C92953" w:rsidRDefault="003261F4" w:rsidP="003261F4">
            <w:pPr>
              <w:jc w:val="center"/>
              <w:rPr>
                <w:b/>
                <w:bCs/>
              </w:rPr>
            </w:pPr>
            <w:r>
              <w:rPr>
                <w:b/>
                <w:bCs/>
              </w:rPr>
              <w:t>Review Date</w:t>
            </w:r>
          </w:p>
        </w:tc>
        <w:tc>
          <w:tcPr>
            <w:tcW w:w="4508" w:type="dxa"/>
            <w:vAlign w:val="center"/>
          </w:tcPr>
          <w:p w14:paraId="0E9D770C" w14:textId="29A2EAB5" w:rsidR="003261F4" w:rsidRPr="00C92953" w:rsidRDefault="474F6A56" w:rsidP="003261F4">
            <w:pPr>
              <w:jc w:val="center"/>
              <w:rPr>
                <w:b/>
                <w:bCs/>
              </w:rPr>
            </w:pPr>
            <w:r w:rsidRPr="690E8596">
              <w:rPr>
                <w:b/>
                <w:bCs/>
              </w:rPr>
              <w:t>2</w:t>
            </w:r>
            <w:r w:rsidRPr="690E8596">
              <w:rPr>
                <w:b/>
                <w:bCs/>
                <w:vertAlign w:val="superscript"/>
              </w:rPr>
              <w:t>nd</w:t>
            </w:r>
            <w:r w:rsidRPr="690E8596">
              <w:rPr>
                <w:b/>
                <w:bCs/>
              </w:rPr>
              <w:t xml:space="preserve"> March </w:t>
            </w:r>
            <w:r w:rsidR="000164EF" w:rsidRPr="690E8596">
              <w:rPr>
                <w:b/>
                <w:bCs/>
              </w:rPr>
              <w:t>2025</w:t>
            </w:r>
          </w:p>
        </w:tc>
      </w:tr>
      <w:tr w:rsidR="003048DB" w14:paraId="0077B5F1" w14:textId="77777777" w:rsidTr="000C3E27">
        <w:trPr>
          <w:trHeight w:hRule="exact" w:val="567"/>
          <w:jc w:val="center"/>
        </w:trPr>
        <w:tc>
          <w:tcPr>
            <w:tcW w:w="4508" w:type="dxa"/>
            <w:vAlign w:val="center"/>
          </w:tcPr>
          <w:p w14:paraId="1B18DD4A" w14:textId="77777777" w:rsidR="003048DB" w:rsidRPr="00C92953" w:rsidRDefault="003048DB" w:rsidP="00807F12">
            <w:pPr>
              <w:jc w:val="center"/>
              <w:rPr>
                <w:b/>
                <w:bCs/>
              </w:rPr>
            </w:pPr>
            <w:r>
              <w:rPr>
                <w:b/>
                <w:bCs/>
              </w:rPr>
              <w:t>Superseded Version Number &amp; date</w:t>
            </w:r>
          </w:p>
        </w:tc>
        <w:tc>
          <w:tcPr>
            <w:tcW w:w="4508" w:type="dxa"/>
            <w:vAlign w:val="center"/>
          </w:tcPr>
          <w:p w14:paraId="23EE1A67" w14:textId="714F03AE" w:rsidR="003048DB" w:rsidRPr="00C92953" w:rsidRDefault="0775EF43" w:rsidP="003261F4">
            <w:pPr>
              <w:jc w:val="center"/>
              <w:rPr>
                <w:b/>
                <w:bCs/>
              </w:rPr>
            </w:pPr>
            <w:r w:rsidRPr="1003B4E9">
              <w:rPr>
                <w:b/>
                <w:bCs/>
              </w:rPr>
              <w:t>V1.</w:t>
            </w:r>
            <w:r w:rsidR="00951C97">
              <w:rPr>
                <w:b/>
                <w:bCs/>
              </w:rPr>
              <w:t>2</w:t>
            </w:r>
            <w:r w:rsidRPr="1003B4E9">
              <w:rPr>
                <w:b/>
                <w:bCs/>
              </w:rPr>
              <w:t xml:space="preserve"> </w:t>
            </w:r>
            <w:r w:rsidR="00951C97">
              <w:rPr>
                <w:b/>
                <w:bCs/>
              </w:rPr>
              <w:t>2</w:t>
            </w:r>
            <w:r w:rsidR="00951C97" w:rsidRPr="00951C97">
              <w:rPr>
                <w:b/>
                <w:bCs/>
                <w:vertAlign w:val="superscript"/>
              </w:rPr>
              <w:t>nd</w:t>
            </w:r>
            <w:r w:rsidR="00951C97">
              <w:rPr>
                <w:b/>
                <w:bCs/>
              </w:rPr>
              <w:t xml:space="preserve"> </w:t>
            </w:r>
            <w:r w:rsidR="7208226D" w:rsidRPr="690E8596">
              <w:rPr>
                <w:b/>
                <w:bCs/>
              </w:rPr>
              <w:t>March</w:t>
            </w:r>
            <w:r w:rsidR="00951C97">
              <w:rPr>
                <w:b/>
                <w:bCs/>
              </w:rPr>
              <w:t xml:space="preserve"> 2023</w:t>
            </w:r>
            <w:r w:rsidRPr="1003B4E9">
              <w:rPr>
                <w:b/>
                <w:bCs/>
              </w:rPr>
              <w:t xml:space="preserve"> </w:t>
            </w:r>
          </w:p>
        </w:tc>
      </w:tr>
      <w:tr w:rsidR="002A5167" w14:paraId="08AD87E5" w14:textId="77777777" w:rsidTr="000C3E27">
        <w:trPr>
          <w:trHeight w:hRule="exact" w:val="567"/>
          <w:jc w:val="center"/>
        </w:trPr>
        <w:tc>
          <w:tcPr>
            <w:tcW w:w="4508" w:type="dxa"/>
            <w:vAlign w:val="center"/>
          </w:tcPr>
          <w:p w14:paraId="5BCFDA9C" w14:textId="7BC64524" w:rsidR="002A5167" w:rsidRDefault="002A5167" w:rsidP="00807F12">
            <w:pPr>
              <w:jc w:val="center"/>
              <w:rPr>
                <w:b/>
                <w:bCs/>
              </w:rPr>
            </w:pPr>
            <w:r>
              <w:rPr>
                <w:b/>
                <w:bCs/>
              </w:rPr>
              <w:t>Author</w:t>
            </w:r>
          </w:p>
        </w:tc>
        <w:tc>
          <w:tcPr>
            <w:tcW w:w="4508" w:type="dxa"/>
            <w:vAlign w:val="center"/>
          </w:tcPr>
          <w:p w14:paraId="500270C8" w14:textId="74AAFDE7" w:rsidR="002A5167" w:rsidRPr="1003B4E9" w:rsidRDefault="00823A4F" w:rsidP="003261F4">
            <w:pPr>
              <w:jc w:val="center"/>
              <w:rPr>
                <w:b/>
                <w:bCs/>
              </w:rPr>
            </w:pPr>
            <w:r>
              <w:rPr>
                <w:b/>
                <w:bCs/>
              </w:rPr>
              <w:t>Glenn Ferris</w:t>
            </w:r>
          </w:p>
        </w:tc>
      </w:tr>
      <w:tr w:rsidR="002A5167" w14:paraId="7FA78EAD" w14:textId="77777777" w:rsidTr="000C3E27">
        <w:trPr>
          <w:trHeight w:hRule="exact" w:val="567"/>
          <w:jc w:val="center"/>
        </w:trPr>
        <w:tc>
          <w:tcPr>
            <w:tcW w:w="4508" w:type="dxa"/>
            <w:vAlign w:val="center"/>
          </w:tcPr>
          <w:p w14:paraId="04430A80" w14:textId="46A20927" w:rsidR="002A5167" w:rsidRDefault="002A5167" w:rsidP="00807F12">
            <w:pPr>
              <w:jc w:val="center"/>
              <w:rPr>
                <w:b/>
                <w:bCs/>
              </w:rPr>
            </w:pPr>
            <w:r>
              <w:rPr>
                <w:b/>
                <w:bCs/>
              </w:rPr>
              <w:t>Reviewer</w:t>
            </w:r>
          </w:p>
        </w:tc>
        <w:tc>
          <w:tcPr>
            <w:tcW w:w="4508" w:type="dxa"/>
            <w:vAlign w:val="center"/>
          </w:tcPr>
          <w:p w14:paraId="1AF68DB8" w14:textId="0D5A7E99" w:rsidR="002A5167" w:rsidRPr="1003B4E9" w:rsidRDefault="00951C97" w:rsidP="003261F4">
            <w:pPr>
              <w:jc w:val="center"/>
              <w:rPr>
                <w:b/>
                <w:bCs/>
              </w:rPr>
            </w:pPr>
            <w:r>
              <w:rPr>
                <w:b/>
                <w:bCs/>
              </w:rPr>
              <w:t>Liam Hanson</w:t>
            </w:r>
          </w:p>
        </w:tc>
      </w:tr>
      <w:tr w:rsidR="003048DB" w14:paraId="3D307379" w14:textId="77777777" w:rsidTr="000C3E27">
        <w:trPr>
          <w:trHeight w:hRule="exact" w:val="1798"/>
          <w:jc w:val="center"/>
        </w:trPr>
        <w:tc>
          <w:tcPr>
            <w:tcW w:w="4508" w:type="dxa"/>
            <w:vAlign w:val="center"/>
          </w:tcPr>
          <w:p w14:paraId="0B8B8DD6" w14:textId="77777777" w:rsidR="003048DB" w:rsidRPr="00C92953" w:rsidRDefault="003048DB" w:rsidP="00807F12">
            <w:pPr>
              <w:jc w:val="center"/>
              <w:rPr>
                <w:b/>
                <w:bCs/>
              </w:rPr>
            </w:pPr>
            <w:r>
              <w:rPr>
                <w:b/>
                <w:bCs/>
              </w:rPr>
              <w:t xml:space="preserve">Authorisation </w:t>
            </w:r>
          </w:p>
        </w:tc>
        <w:tc>
          <w:tcPr>
            <w:tcW w:w="4508" w:type="dxa"/>
          </w:tcPr>
          <w:p w14:paraId="4DA6160C" w14:textId="4EC14818" w:rsidR="003261F4" w:rsidRDefault="003261F4" w:rsidP="000164EF">
            <w:pPr>
              <w:jc w:val="center"/>
              <w:rPr>
                <w:b/>
                <w:bCs/>
              </w:rPr>
            </w:pPr>
            <w:r>
              <w:rPr>
                <w:b/>
                <w:bCs/>
              </w:rPr>
              <w:t>Designated Individual</w:t>
            </w:r>
          </w:p>
          <w:p w14:paraId="77A89788" w14:textId="77777777" w:rsidR="003261F4" w:rsidRDefault="003261F4" w:rsidP="000164EF">
            <w:pPr>
              <w:jc w:val="center"/>
              <w:rPr>
                <w:b/>
                <w:bCs/>
              </w:rPr>
            </w:pPr>
            <w:r>
              <w:rPr>
                <w:noProof/>
              </w:rPr>
              <w:drawing>
                <wp:inline distT="0" distB="0" distL="0" distR="0" wp14:anchorId="7F083877" wp14:editId="48BD6732">
                  <wp:extent cx="1521229" cy="700035"/>
                  <wp:effectExtent l="0" t="0" r="3175" b="5080"/>
                  <wp:docPr id="14759077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521229" cy="700035"/>
                          </a:xfrm>
                          <a:prstGeom prst="rect">
                            <a:avLst/>
                          </a:prstGeom>
                        </pic:spPr>
                      </pic:pic>
                    </a:graphicData>
                  </a:graphic>
                </wp:inline>
              </w:drawing>
            </w:r>
          </w:p>
          <w:p w14:paraId="7A80E079" w14:textId="2A78EAE3" w:rsidR="003048DB" w:rsidRPr="003261F4" w:rsidRDefault="003261F4" w:rsidP="000164EF">
            <w:pPr>
              <w:jc w:val="center"/>
              <w:rPr>
                <w:bCs/>
                <w:noProof/>
                <w:lang w:eastAsia="en-GB"/>
              </w:rPr>
            </w:pPr>
            <w:r>
              <w:rPr>
                <w:b/>
                <w:bCs/>
              </w:rPr>
              <w:t>Professor Degens</w:t>
            </w:r>
          </w:p>
        </w:tc>
      </w:tr>
    </w:tbl>
    <w:p w14:paraId="06CAC9FE" w14:textId="77777777" w:rsidR="003048DB" w:rsidRDefault="003048DB" w:rsidP="003048DB"/>
    <w:p w14:paraId="55FC6674" w14:textId="77777777" w:rsidR="003261F4" w:rsidRDefault="003261F4" w:rsidP="000C3E27">
      <w:pPr>
        <w:pStyle w:val="Heading1"/>
      </w:pPr>
      <w:r>
        <w:t xml:space="preserve">Background </w:t>
      </w:r>
    </w:p>
    <w:p w14:paraId="4EF3481B" w14:textId="39E72FF3" w:rsidR="003261F4" w:rsidRDefault="003261F4" w:rsidP="000C3E27">
      <w:r w:rsidRPr="00075F30">
        <w:t xml:space="preserve">The University has introduced a quality management system for the governance of the acquisition, </w:t>
      </w:r>
      <w:r w:rsidR="000C3E27" w:rsidRPr="00075F30">
        <w:t>storage,</w:t>
      </w:r>
      <w:r w:rsidRPr="00075F30">
        <w:t xml:space="preserve"> and use of human tissue. </w:t>
      </w:r>
      <w:r w:rsidR="008F1526">
        <w:t xml:space="preserve"> </w:t>
      </w:r>
    </w:p>
    <w:p w14:paraId="66221716" w14:textId="77777777" w:rsidR="003261F4" w:rsidRDefault="003261F4" w:rsidP="000C3E27"/>
    <w:p w14:paraId="44DC9AAE" w14:textId="77777777" w:rsidR="003261F4" w:rsidRPr="00075F30" w:rsidRDefault="003261F4" w:rsidP="000C3E27">
      <w:r>
        <w:t>This system will ensure that all work is carried out to the highest standard and that the University complies with the licensing obligations of the Human Tissue Act (</w:t>
      </w:r>
      <w:r w:rsidRPr="00B07864">
        <w:t>HTA,</w:t>
      </w:r>
      <w:r>
        <w:t xml:space="preserve"> 2004). </w:t>
      </w:r>
    </w:p>
    <w:p w14:paraId="5E26F06F" w14:textId="77777777" w:rsidR="003261F4" w:rsidRDefault="003261F4" w:rsidP="000C3E27"/>
    <w:p w14:paraId="10893DB8" w14:textId="48AF6CA1" w:rsidR="003261F4" w:rsidRPr="000C3E27" w:rsidRDefault="003261F4" w:rsidP="000C3E27">
      <w:r>
        <w:t>This SOP forms part of a suite of SOPs (MMUHTA</w:t>
      </w:r>
      <w:r w:rsidR="0063198A">
        <w:t>_</w:t>
      </w:r>
      <w:r>
        <w:t xml:space="preserve">001 – </w:t>
      </w:r>
      <w:r w:rsidR="002209C9">
        <w:t>MMUHTA</w:t>
      </w:r>
      <w:r w:rsidR="0063198A">
        <w:t>_</w:t>
      </w:r>
      <w:r w:rsidR="002209C9">
        <w:t>019</w:t>
      </w:r>
      <w:r>
        <w:t xml:space="preserve">) that support implementation of the quality management system and should be used as directed in </w:t>
      </w:r>
      <w:r w:rsidR="59E92AE8">
        <w:t xml:space="preserve">Manchester Metropolitan University’s HTA </w:t>
      </w:r>
      <w:r w:rsidR="6B814B43">
        <w:t>Code of Practice</w:t>
      </w:r>
      <w:r w:rsidR="76BEE96D">
        <w:t>.</w:t>
      </w:r>
    </w:p>
    <w:p w14:paraId="7C116DE4" w14:textId="77777777" w:rsidR="003261F4" w:rsidRDefault="003261F4" w:rsidP="000C3E27">
      <w:pPr>
        <w:pStyle w:val="Heading1"/>
      </w:pPr>
      <w:r w:rsidRPr="157FE179">
        <w:t xml:space="preserve">Purpose </w:t>
      </w:r>
    </w:p>
    <w:p w14:paraId="17A8A269" w14:textId="394E0836" w:rsidR="003261F4" w:rsidRPr="000C3E27" w:rsidRDefault="5137037B" w:rsidP="000C3E27">
      <w:pPr>
        <w:rPr>
          <w:rFonts w:eastAsia="Calibri"/>
          <w:color w:val="000000" w:themeColor="text1"/>
        </w:rPr>
      </w:pPr>
      <w:r w:rsidRPr="157FE179">
        <w:t xml:space="preserve">The purpose of this SOP defines the correct procedure for arranging and conducting transfer of HTA relevant material between Manchester Metropolitan University buildings and to third parties </w:t>
      </w:r>
      <w:proofErr w:type="gramStart"/>
      <w:r w:rsidRPr="157FE179">
        <w:t>in order to</w:t>
      </w:r>
      <w:proofErr w:type="gramEnd"/>
      <w:r w:rsidRPr="157FE179">
        <w:t xml:space="preserve"> comply with the licensing obligations of the HTA 2004.</w:t>
      </w:r>
    </w:p>
    <w:p w14:paraId="13B62C86" w14:textId="75633C5F" w:rsidR="003261F4" w:rsidRDefault="533F35B2" w:rsidP="000C3E27">
      <w:pPr>
        <w:pStyle w:val="Heading1"/>
      </w:pPr>
      <w:r w:rsidRPr="70AC93F4">
        <w:t xml:space="preserve">Human Tissue Definition </w:t>
      </w:r>
    </w:p>
    <w:p w14:paraId="21F09C86" w14:textId="189C8261" w:rsidR="003261F4" w:rsidRDefault="533F35B2" w:rsidP="000C3E27">
      <w:r w:rsidRPr="70AC93F4">
        <w:t>Any, and all, constituent part/s of the human body containing cells.</w:t>
      </w:r>
    </w:p>
    <w:p w14:paraId="69F50A7F" w14:textId="77777777" w:rsidR="003261F4" w:rsidRDefault="003261F4" w:rsidP="003261F4">
      <w:pPr>
        <w:pStyle w:val="Default"/>
        <w:rPr>
          <w:b/>
          <w:bCs/>
          <w:sz w:val="23"/>
          <w:szCs w:val="23"/>
        </w:rPr>
      </w:pPr>
    </w:p>
    <w:p w14:paraId="78A0A8FD" w14:textId="77777777" w:rsidR="003261F4" w:rsidRDefault="003261F4" w:rsidP="000C3E27">
      <w:pPr>
        <w:pStyle w:val="Heading1"/>
      </w:pPr>
      <w:r>
        <w:t xml:space="preserve">Scope (of this SOP) </w:t>
      </w:r>
    </w:p>
    <w:p w14:paraId="0D675837" w14:textId="2807547E" w:rsidR="003048DB" w:rsidRPr="003261F4" w:rsidRDefault="003048DB" w:rsidP="000C3E27">
      <w:pPr>
        <w:rPr>
          <w:color w:val="FF0000"/>
        </w:rPr>
      </w:pPr>
      <w:r>
        <w:t>All human tissue</w:t>
      </w:r>
      <w:r w:rsidR="7718F1BE">
        <w:t xml:space="preserve"> </w:t>
      </w:r>
      <w:r>
        <w:t>transfer</w:t>
      </w:r>
      <w:r w:rsidR="6F6CABDD">
        <w:t>red</w:t>
      </w:r>
      <w:r>
        <w:t xml:space="preserve"> to </w:t>
      </w:r>
      <w:r w:rsidR="1F0C288D">
        <w:t>or</w:t>
      </w:r>
      <w:r>
        <w:t xml:space="preserve"> from Manchester Metropolitan University where Manchester Metropolitan University is responsible for arranging the transport of the tissue</w:t>
      </w:r>
      <w:r w:rsidR="1089E8BC">
        <w:t xml:space="preserve">. This SOP does not apply to </w:t>
      </w:r>
      <w:r>
        <w:t xml:space="preserve">tissue transferred to </w:t>
      </w:r>
      <w:r w:rsidR="003261F4">
        <w:t>Stericycle (</w:t>
      </w:r>
      <w:hyperlink r:id="rId14" w:history="1">
        <w:r w:rsidR="0063198A" w:rsidRPr="00B33B00">
          <w:rPr>
            <w:rStyle w:val="Hyperlink"/>
          </w:rPr>
          <w:t>https://www.stericycle.co.uk/en-gb</w:t>
        </w:r>
      </w:hyperlink>
      <w:r w:rsidR="0063198A">
        <w:t>)</w:t>
      </w:r>
      <w:r w:rsidR="000B22A4">
        <w:t xml:space="preserve"> </w:t>
      </w:r>
      <w:r>
        <w:t>for disposal.</w:t>
      </w:r>
    </w:p>
    <w:p w14:paraId="50AFEFAD" w14:textId="77777777" w:rsidR="003048DB" w:rsidRPr="003261F4" w:rsidRDefault="003048DB" w:rsidP="000C3E27"/>
    <w:p w14:paraId="088A9472" w14:textId="79B41D15" w:rsidR="003048DB" w:rsidRPr="003261F4" w:rsidRDefault="003048DB" w:rsidP="000C3E27">
      <w:r>
        <w:t xml:space="preserve">Transport may be undertaken by a member of </w:t>
      </w:r>
      <w:r w:rsidR="25027498">
        <w:t>university</w:t>
      </w:r>
      <w:r>
        <w:t xml:space="preserve"> staff</w:t>
      </w:r>
      <w:r w:rsidR="004D781F">
        <w:t>, post-graduate student</w:t>
      </w:r>
      <w:r>
        <w:t xml:space="preserve"> or by a</w:t>
      </w:r>
      <w:r w:rsidR="007F59B2">
        <w:t xml:space="preserve">n </w:t>
      </w:r>
      <w:r w:rsidR="004D781F">
        <w:t>approved</w:t>
      </w:r>
      <w:r>
        <w:t xml:space="preserve"> courier. </w:t>
      </w:r>
    </w:p>
    <w:p w14:paraId="476D8FA9" w14:textId="77777777" w:rsidR="003048DB" w:rsidRPr="003261F4" w:rsidRDefault="003048DB" w:rsidP="000C3E27"/>
    <w:p w14:paraId="4E25CDD8" w14:textId="641C4D31" w:rsidR="003048DB" w:rsidRPr="0063198A" w:rsidRDefault="003048DB" w:rsidP="0063198A">
      <w:r w:rsidRPr="003261F4">
        <w:t xml:space="preserve">The scope of this SOP is limited to the physical transfer of tissue. Procedures associated with documentation of the </w:t>
      </w:r>
      <w:r w:rsidR="003261F4">
        <w:t xml:space="preserve">process can be found in SOP </w:t>
      </w:r>
      <w:hyperlink r:id="rId15" w:history="1">
        <w:r w:rsidR="00EB33A0">
          <w:rPr>
            <w:rStyle w:val="Hyperlink"/>
          </w:rPr>
          <w:t>MMUHTA_003</w:t>
        </w:r>
      </w:hyperlink>
      <w:r w:rsidR="003261F4">
        <w:t xml:space="preserve"> (Material Transfer)</w:t>
      </w:r>
      <w:r w:rsidR="004D781F" w:rsidRPr="003261F4">
        <w:t>.</w:t>
      </w:r>
    </w:p>
    <w:p w14:paraId="40863FBC" w14:textId="34CB9A6B" w:rsidR="000C3E27" w:rsidRPr="000C3E27" w:rsidRDefault="003048DB" w:rsidP="0063198A">
      <w:pPr>
        <w:pStyle w:val="Heading1"/>
      </w:pPr>
      <w:r w:rsidRPr="003261F4">
        <w:t xml:space="preserve">Procedure </w:t>
      </w:r>
    </w:p>
    <w:p w14:paraId="23F78B9F" w14:textId="2A96C873" w:rsidR="004C36C5" w:rsidRPr="003261F4" w:rsidRDefault="004C36C5" w:rsidP="000C3E27">
      <w:pPr>
        <w:pStyle w:val="Heading2"/>
      </w:pPr>
      <w:r w:rsidRPr="003261F4">
        <w:t xml:space="preserve">Material Transfer Agreement </w:t>
      </w:r>
    </w:p>
    <w:p w14:paraId="38FD26C4" w14:textId="31CE738B" w:rsidR="00B92DC6" w:rsidRPr="003261F4" w:rsidRDefault="00B92DC6" w:rsidP="000C3E27">
      <w:r w:rsidRPr="003261F4">
        <w:t xml:space="preserve">The University MTA can be </w:t>
      </w:r>
      <w:r w:rsidR="00870429" w:rsidRPr="003261F4">
        <w:t>obtained from</w:t>
      </w:r>
      <w:r w:rsidR="7A795F39" w:rsidRPr="003261F4">
        <w:t xml:space="preserve"> the RKE contracts team (</w:t>
      </w:r>
      <w:hyperlink r:id="rId16" w:history="1">
        <w:r w:rsidR="003261F4" w:rsidRPr="000F75EC">
          <w:rPr>
            <w:rStyle w:val="Hyperlink"/>
          </w:rPr>
          <w:t>RKE-Contracts@mmu.ac.uk</w:t>
        </w:r>
      </w:hyperlink>
      <w:r w:rsidR="29434D00" w:rsidRPr="003261F4">
        <w:t>)</w:t>
      </w:r>
      <w:r w:rsidR="003261F4">
        <w:t xml:space="preserve"> and a template is attached to SOP </w:t>
      </w:r>
      <w:hyperlink r:id="rId17" w:history="1">
        <w:r w:rsidR="00CA72DB">
          <w:rPr>
            <w:rStyle w:val="Hyperlink"/>
          </w:rPr>
          <w:t>MMUHTA_003</w:t>
        </w:r>
      </w:hyperlink>
      <w:r w:rsidR="00870429" w:rsidRPr="003261F4">
        <w:t>.</w:t>
      </w:r>
      <w:r w:rsidRPr="003261F4">
        <w:rPr>
          <w:b/>
          <w:bCs/>
        </w:rPr>
        <w:t xml:space="preserve"> </w:t>
      </w:r>
    </w:p>
    <w:p w14:paraId="33CB6C37" w14:textId="77777777" w:rsidR="00B92DC6" w:rsidRPr="003261F4" w:rsidRDefault="00B92DC6" w:rsidP="000C3E27"/>
    <w:p w14:paraId="6A06100E" w14:textId="6313A7FF" w:rsidR="00B92DC6" w:rsidRPr="003261F4" w:rsidRDefault="004C36C5" w:rsidP="000C3E27">
      <w:r w:rsidRPr="70AC93F4">
        <w:t xml:space="preserve">Where material transfer is needed, University staff </w:t>
      </w:r>
      <w:r w:rsidR="00286CE1" w:rsidRPr="70AC93F4">
        <w:t xml:space="preserve">should explicitly agree the terms and conditions </w:t>
      </w:r>
      <w:r w:rsidR="00870429" w:rsidRPr="70AC93F4">
        <w:t xml:space="preserve">concerning </w:t>
      </w:r>
      <w:r w:rsidR="00286CE1" w:rsidRPr="70AC93F4">
        <w:t xml:space="preserve">the materials exchanged in a </w:t>
      </w:r>
      <w:r w:rsidRPr="70AC93F4">
        <w:t>Material Transfer Agreement (MTA)</w:t>
      </w:r>
      <w:r w:rsidR="00B92DC6" w:rsidRPr="70AC93F4">
        <w:t xml:space="preserve">. All human tissues and cells classified as relevant material can only be transferred under the terms of the MTA. </w:t>
      </w:r>
    </w:p>
    <w:p w14:paraId="1F1C970D" w14:textId="77777777" w:rsidR="004C36C5" w:rsidRPr="003261F4" w:rsidRDefault="004C36C5" w:rsidP="000C3E27"/>
    <w:p w14:paraId="28025674" w14:textId="32A276DB" w:rsidR="00546496" w:rsidRPr="003261F4" w:rsidRDefault="00B92DC6" w:rsidP="000C3E27">
      <w:r w:rsidRPr="003261F4">
        <w:t xml:space="preserve">Where a request is received for release of tissue for use in research with current ethical approval, and where the person/laboratory holding the tissue is not </w:t>
      </w:r>
      <w:r w:rsidR="00546496" w:rsidRPr="003261F4">
        <w:t>directly involved in the research</w:t>
      </w:r>
      <w:r w:rsidR="00546496" w:rsidRPr="003261F4">
        <w:rPr>
          <w:rStyle w:val="FootnoteReference"/>
        </w:rPr>
        <w:footnoteReference w:id="2"/>
      </w:r>
      <w:r w:rsidR="00546496" w:rsidRPr="003261F4">
        <w:t xml:space="preserve">, the custodian of the tissue must obtain confirmation in writing that there is ethical </w:t>
      </w:r>
      <w:r w:rsidR="00856F61" w:rsidRPr="003261F4">
        <w:t>approval,</w:t>
      </w:r>
      <w:r w:rsidR="00546496" w:rsidRPr="003261F4">
        <w:t xml:space="preserve"> and that consent/consent exemption is in place. This should be recorded on the </w:t>
      </w:r>
      <w:r w:rsidR="00560B0F">
        <w:t>form in Appendix 1 if transferred for projects with NHS ethical approval</w:t>
      </w:r>
      <w:r w:rsidR="00546496" w:rsidRPr="003261F4">
        <w:t>. A</w:t>
      </w:r>
      <w:r w:rsidR="003261F4">
        <w:t>n</w:t>
      </w:r>
      <w:r w:rsidR="00546496" w:rsidRPr="003261F4">
        <w:t xml:space="preserve"> MTA is always required for a transfer to a third party, if that third party is not part of a study. </w:t>
      </w:r>
    </w:p>
    <w:p w14:paraId="3E2C9067" w14:textId="77777777" w:rsidR="00546496" w:rsidRPr="003261F4" w:rsidRDefault="00546496" w:rsidP="000C3E27"/>
    <w:p w14:paraId="7FE7037D" w14:textId="6427E799" w:rsidR="006B0A11" w:rsidRPr="003261F4" w:rsidRDefault="00546496" w:rsidP="000C3E27">
      <w:r w:rsidRPr="70AC93F4">
        <w:t>A</w:t>
      </w:r>
      <w:r w:rsidR="28F1C8C6" w:rsidRPr="70AC93F4">
        <w:t>n</w:t>
      </w:r>
      <w:r w:rsidRPr="70AC93F4">
        <w:t xml:space="preserve"> MTA may be used for the transfer of material as part of a research project, if this is considered </w:t>
      </w:r>
      <w:r w:rsidR="006B0A11" w:rsidRPr="70AC93F4">
        <w:t>appropriate</w:t>
      </w:r>
      <w:r w:rsidRPr="70AC93F4">
        <w:t xml:space="preserve"> by the DI</w:t>
      </w:r>
      <w:r w:rsidR="006B0A11" w:rsidRPr="70AC93F4">
        <w:t xml:space="preserve">; for </w:t>
      </w:r>
      <w:r w:rsidR="02C12D95" w:rsidRPr="70AC93F4">
        <w:t>example,</w:t>
      </w:r>
      <w:r w:rsidR="006B0A11" w:rsidRPr="70AC93F4">
        <w:t xml:space="preserve"> to protect intellectual property rights, or if transferring to another country. Legislation may be different in the receiving country</w:t>
      </w:r>
      <w:r w:rsidR="003261F4" w:rsidRPr="70AC93F4">
        <w:t xml:space="preserve"> and</w:t>
      </w:r>
      <w:r w:rsidR="006B0A11" w:rsidRPr="70AC93F4">
        <w:t xml:space="preserve"> an MTA will ensure that the conditions of the transfer of the conditions are adhered to. </w:t>
      </w:r>
    </w:p>
    <w:p w14:paraId="63DD0D92" w14:textId="77777777" w:rsidR="006B0A11" w:rsidRPr="003261F4" w:rsidRDefault="006B0A11" w:rsidP="000C3E27"/>
    <w:p w14:paraId="1C439F22" w14:textId="0309ABF5" w:rsidR="00B92DC6" w:rsidRPr="003261F4" w:rsidRDefault="006B0A11" w:rsidP="000C3E27">
      <w:r w:rsidRPr="003261F4">
        <w:t xml:space="preserve">Researchers transferring material must contact the </w:t>
      </w:r>
      <w:r w:rsidR="366BD133" w:rsidRPr="003261F4">
        <w:t>RKE</w:t>
      </w:r>
      <w:r w:rsidRPr="003261F4">
        <w:t xml:space="preserve"> </w:t>
      </w:r>
      <w:r w:rsidR="366BD133" w:rsidRPr="003261F4">
        <w:t xml:space="preserve">contracts </w:t>
      </w:r>
      <w:r w:rsidRPr="003261F4">
        <w:t>team (</w:t>
      </w:r>
      <w:hyperlink r:id="rId18" w:history="1">
        <w:r w:rsidR="00CA72DB" w:rsidRPr="00B33B00">
          <w:rPr>
            <w:rStyle w:val="Hyperlink"/>
          </w:rPr>
          <w:t>RKE-Contracts@mmu.ac.uk</w:t>
        </w:r>
      </w:hyperlink>
      <w:r w:rsidR="00CA72DB">
        <w:t xml:space="preserve">) </w:t>
      </w:r>
      <w:r w:rsidRPr="003261F4">
        <w:t xml:space="preserve">who will </w:t>
      </w:r>
      <w:r w:rsidR="2C79C18C" w:rsidRPr="003261F4">
        <w:t xml:space="preserve">assist you </w:t>
      </w:r>
      <w:r w:rsidR="4E80E29E" w:rsidRPr="003261F4">
        <w:t xml:space="preserve">with the </w:t>
      </w:r>
      <w:r w:rsidR="3082FEAE" w:rsidRPr="003261F4">
        <w:t>M</w:t>
      </w:r>
      <w:r w:rsidR="4E80E29E" w:rsidRPr="003261F4">
        <w:t xml:space="preserve">aterial </w:t>
      </w:r>
      <w:r w:rsidR="3082FEAE" w:rsidRPr="003261F4">
        <w:t>T</w:t>
      </w:r>
      <w:r w:rsidR="4E80E29E" w:rsidRPr="003261F4">
        <w:t xml:space="preserve">ransfer </w:t>
      </w:r>
      <w:r w:rsidR="3082FEAE" w:rsidRPr="003261F4">
        <w:t>A</w:t>
      </w:r>
      <w:r w:rsidR="4E80E29E" w:rsidRPr="003261F4">
        <w:t>g</w:t>
      </w:r>
      <w:r w:rsidR="473C6359" w:rsidRPr="003261F4">
        <w:t>re</w:t>
      </w:r>
      <w:r w:rsidR="4E80E29E" w:rsidRPr="003261F4">
        <w:t>ement</w:t>
      </w:r>
      <w:r w:rsidRPr="003261F4">
        <w:t xml:space="preserve">. If changes are requested by the other party, the </w:t>
      </w:r>
      <w:r w:rsidR="522D1060" w:rsidRPr="003261F4">
        <w:t>R</w:t>
      </w:r>
      <w:r w:rsidR="41A4937E" w:rsidRPr="003261F4">
        <w:t>KE</w:t>
      </w:r>
      <w:r w:rsidR="522D1060" w:rsidRPr="003261F4">
        <w:t xml:space="preserve"> </w:t>
      </w:r>
      <w:r w:rsidR="41A4937E" w:rsidRPr="003261F4">
        <w:t>contracts team must also be informed f</w:t>
      </w:r>
      <w:r w:rsidRPr="003261F4">
        <w:t xml:space="preserve">or negotiation. Where this is the </w:t>
      </w:r>
      <w:r w:rsidR="00C875CE" w:rsidRPr="003261F4">
        <w:t>case,</w:t>
      </w:r>
      <w:r w:rsidRPr="003261F4">
        <w:t xml:space="preserve"> the DI should also be informed and updated on the progress. </w:t>
      </w:r>
    </w:p>
    <w:p w14:paraId="11792202" w14:textId="77777777" w:rsidR="006B0A11" w:rsidRPr="003261F4" w:rsidRDefault="006B0A11" w:rsidP="000C3E27"/>
    <w:p w14:paraId="05A12F12" w14:textId="3D547AD6" w:rsidR="00040796" w:rsidRPr="003261F4" w:rsidRDefault="006B0A11" w:rsidP="000C3E27">
      <w:r w:rsidRPr="003261F4">
        <w:t>The draft agreement should be forwarded to the</w:t>
      </w:r>
      <w:r w:rsidR="00C875CE" w:rsidRPr="003261F4">
        <w:t xml:space="preserve"> recipient and the custodian of the material to be agreed. When both parties agree on the terms of the MTA, the original will be signed by the</w:t>
      </w:r>
      <w:r w:rsidR="00C27723" w:rsidRPr="003261F4">
        <w:t xml:space="preserve"> DI</w:t>
      </w:r>
      <w:r w:rsidR="00C875CE" w:rsidRPr="003261F4">
        <w:t xml:space="preserve">, then by the </w:t>
      </w:r>
      <w:r w:rsidR="00C27723" w:rsidRPr="003261F4">
        <w:t xml:space="preserve">Director of Research and Knowledge Exchange </w:t>
      </w:r>
      <w:r w:rsidR="00C875CE" w:rsidRPr="003261F4">
        <w:t xml:space="preserve">before it is sent to the recipient. The University will sign more copies upon request. An authorised recipient countersigns the original wet ink version of the MTA, keeps a copy for their records </w:t>
      </w:r>
      <w:r w:rsidR="00040796" w:rsidRPr="003261F4">
        <w:t xml:space="preserve">then returns the original to the DI. For all MTA signatures, </w:t>
      </w:r>
      <w:r w:rsidR="003261F4">
        <w:t>e</w:t>
      </w:r>
      <w:r w:rsidR="00040796" w:rsidRPr="003261F4">
        <w:t xml:space="preserve">lectronic signatures </w:t>
      </w:r>
      <w:r w:rsidR="003261F4">
        <w:t>are</w:t>
      </w:r>
      <w:r w:rsidR="00040796" w:rsidRPr="003261F4">
        <w:t xml:space="preserve"> accept</w:t>
      </w:r>
      <w:r w:rsidR="003261F4">
        <w:t>able, but original signatures and official stamps of the receiving and sending institution are preferable</w:t>
      </w:r>
      <w:r w:rsidR="00040796" w:rsidRPr="003261F4">
        <w:t>. A copy is then sent to the researcher for their records.</w:t>
      </w:r>
    </w:p>
    <w:p w14:paraId="34A8A486" w14:textId="77777777" w:rsidR="00040796" w:rsidRPr="003261F4" w:rsidRDefault="00040796" w:rsidP="000C3E27"/>
    <w:p w14:paraId="5FF7FA97" w14:textId="78DCC025" w:rsidR="006B0A11" w:rsidRPr="003261F4" w:rsidRDefault="00040796" w:rsidP="000C3E27">
      <w:r w:rsidRPr="003261F4">
        <w:t>When material is transferred onto the university site</w:t>
      </w:r>
      <w:r w:rsidR="00870429" w:rsidRPr="003261F4">
        <w:t>,</w:t>
      </w:r>
      <w:r w:rsidRPr="003261F4">
        <w:t xml:space="preserve"> an ‘incoming’ MTA (as provided by the supplier)</w:t>
      </w:r>
      <w:r w:rsidR="006B0A11" w:rsidRPr="003261F4">
        <w:t xml:space="preserve"> </w:t>
      </w:r>
      <w:r w:rsidRPr="003261F4">
        <w:t xml:space="preserve">must be sent to the DI for review by the legal team. The incoming MTA must be signed by the DI and will be stored with the DI. </w:t>
      </w:r>
    </w:p>
    <w:p w14:paraId="518A6A13" w14:textId="77777777" w:rsidR="004C36C5" w:rsidRPr="003261F4" w:rsidRDefault="004C36C5" w:rsidP="000C3E27"/>
    <w:p w14:paraId="46142E26" w14:textId="65556116" w:rsidR="004C36C5" w:rsidRPr="003261F4" w:rsidRDefault="00040796" w:rsidP="000C3E27">
      <w:r w:rsidRPr="003261F4">
        <w:t xml:space="preserve">The </w:t>
      </w:r>
      <w:r w:rsidR="007151BD" w:rsidRPr="003261F4">
        <w:t xml:space="preserve">researcher responsible for transferring or receiving transferred relevant material must keep his/her own records detailing which samples have been transferred, where the samples have been transferred to/from and dates of their sample transfer. </w:t>
      </w:r>
    </w:p>
    <w:p w14:paraId="1D01A977" w14:textId="77777777" w:rsidR="007151BD" w:rsidRPr="003261F4" w:rsidRDefault="007151BD" w:rsidP="000C3E27"/>
    <w:p w14:paraId="1559A0BB" w14:textId="73F16E2F" w:rsidR="007151BD" w:rsidRPr="003261F4" w:rsidRDefault="007151BD" w:rsidP="000C3E27">
      <w:r w:rsidRPr="003261F4">
        <w:t xml:space="preserve">Any queries related to the transfer of relevant material </w:t>
      </w:r>
      <w:r w:rsidR="00F142C2" w:rsidRPr="003261F4">
        <w:t xml:space="preserve">should be directed to the DI. </w:t>
      </w:r>
    </w:p>
    <w:p w14:paraId="5C5CECB3" w14:textId="77777777" w:rsidR="00F142C2" w:rsidRPr="003261F4" w:rsidRDefault="00F142C2" w:rsidP="003261F4">
      <w:pPr>
        <w:pStyle w:val="Default"/>
        <w:jc w:val="both"/>
        <w:rPr>
          <w:color w:val="auto"/>
        </w:rPr>
      </w:pPr>
    </w:p>
    <w:p w14:paraId="101CF524" w14:textId="611FEBF4" w:rsidR="00F142C2" w:rsidRPr="003261F4" w:rsidRDefault="00F142C2" w:rsidP="000C3E27">
      <w:pPr>
        <w:pStyle w:val="Heading2"/>
      </w:pPr>
      <w:r w:rsidRPr="003261F4">
        <w:t xml:space="preserve">Transfer of samples – packaging </w:t>
      </w:r>
    </w:p>
    <w:p w14:paraId="20ABD40C" w14:textId="60989664" w:rsidR="00F142C2" w:rsidRPr="003261F4" w:rsidRDefault="00F142C2" w:rsidP="000C3E27">
      <w:r w:rsidRPr="003261F4">
        <w:t>The total packaging must include:</w:t>
      </w:r>
    </w:p>
    <w:p w14:paraId="723B1B70" w14:textId="7A11DEED" w:rsidR="00F142C2" w:rsidRPr="003261F4" w:rsidRDefault="00F142C2" w:rsidP="000C3E27">
      <w:pPr>
        <w:pStyle w:val="ListParagraph"/>
        <w:numPr>
          <w:ilvl w:val="0"/>
          <w:numId w:val="7"/>
        </w:numPr>
      </w:pPr>
      <w:r w:rsidRPr="70AC93F4">
        <w:t xml:space="preserve">A watertight, leakproof primary </w:t>
      </w:r>
      <w:r w:rsidR="60145EDB" w:rsidRPr="70AC93F4">
        <w:t>receptacle.</w:t>
      </w:r>
    </w:p>
    <w:p w14:paraId="46298B5A" w14:textId="68537D04" w:rsidR="00F142C2" w:rsidRPr="003261F4" w:rsidRDefault="00F142C2" w:rsidP="000C3E27">
      <w:pPr>
        <w:pStyle w:val="ListParagraph"/>
        <w:numPr>
          <w:ilvl w:val="0"/>
          <w:numId w:val="7"/>
        </w:numPr>
      </w:pPr>
      <w:r w:rsidRPr="70AC93F4">
        <w:t xml:space="preserve">A watertight, leakproof secondary </w:t>
      </w:r>
      <w:r w:rsidR="7F08F855" w:rsidRPr="70AC93F4">
        <w:t>packaging.</w:t>
      </w:r>
    </w:p>
    <w:p w14:paraId="55597304" w14:textId="691DB9D5" w:rsidR="00F142C2" w:rsidRPr="003261F4" w:rsidRDefault="00F142C2" w:rsidP="000C3E27">
      <w:pPr>
        <w:pStyle w:val="ListParagraph"/>
        <w:numPr>
          <w:ilvl w:val="0"/>
          <w:numId w:val="7"/>
        </w:numPr>
      </w:pPr>
      <w:r w:rsidRPr="70AC93F4">
        <w:t xml:space="preserve">Primary and secondary packaging must be able to retain their integrity at the temperature of </w:t>
      </w:r>
      <w:r w:rsidR="5992BB3D" w:rsidRPr="70AC93F4">
        <w:t>transport.</w:t>
      </w:r>
    </w:p>
    <w:p w14:paraId="0D793D7C" w14:textId="52EF928A" w:rsidR="00F142C2" w:rsidRPr="003261F4" w:rsidRDefault="00F142C2" w:rsidP="000C3E27">
      <w:pPr>
        <w:pStyle w:val="ListParagraph"/>
        <w:numPr>
          <w:ilvl w:val="0"/>
          <w:numId w:val="7"/>
        </w:numPr>
      </w:pPr>
      <w:r w:rsidRPr="003261F4">
        <w:t>Outer packaging of sufficient strength for its capacity, mass and intended use.</w:t>
      </w:r>
    </w:p>
    <w:p w14:paraId="2B5765F8" w14:textId="49D4BA4E" w:rsidR="00F142C2" w:rsidRPr="003261F4" w:rsidRDefault="00F142C2" w:rsidP="000C3E27"/>
    <w:p w14:paraId="00FC3189" w14:textId="52E10D65" w:rsidR="00F142C2" w:rsidRPr="003261F4" w:rsidRDefault="00F142C2" w:rsidP="000C3E27">
      <w:r w:rsidRPr="003261F4">
        <w:t xml:space="preserve">For </w:t>
      </w:r>
      <w:r w:rsidR="0064678C" w:rsidRPr="003261F4">
        <w:t xml:space="preserve">transport at ambient temperature, the primary receptacle should be plastic, </w:t>
      </w:r>
      <w:proofErr w:type="gramStart"/>
      <w:r w:rsidR="0064678C" w:rsidRPr="003261F4">
        <w:t>metal</w:t>
      </w:r>
      <w:proofErr w:type="gramEnd"/>
      <w:r w:rsidR="0064678C" w:rsidRPr="003261F4">
        <w:t xml:space="preserve"> or glass. If screw caps are </w:t>
      </w:r>
      <w:r w:rsidR="00856F61" w:rsidRPr="003261F4">
        <w:t>used,</w:t>
      </w:r>
      <w:r w:rsidR="0064678C" w:rsidRPr="003261F4">
        <w:t xml:space="preserve"> they should be reinforced with adhesive tape to ensure a leak-proof seal. </w:t>
      </w:r>
    </w:p>
    <w:p w14:paraId="3775C0B5" w14:textId="77777777" w:rsidR="004326D4" w:rsidRPr="003261F4" w:rsidRDefault="004326D4" w:rsidP="000C3E27"/>
    <w:p w14:paraId="3B6EB04D" w14:textId="5745EF7E" w:rsidR="004326D4" w:rsidRPr="003261F4" w:rsidRDefault="004326D4" w:rsidP="000C3E27">
      <w:r w:rsidRPr="003261F4">
        <w:t xml:space="preserve">Containers, </w:t>
      </w:r>
      <w:r w:rsidR="00856F61" w:rsidRPr="003261F4">
        <w:t>boxes,</w:t>
      </w:r>
      <w:r w:rsidRPr="003261F4">
        <w:t xml:space="preserve"> and labels for human tissue transfer can be purchased from general laboratory suppliers.</w:t>
      </w:r>
    </w:p>
    <w:p w14:paraId="5D5A1708" w14:textId="77777777" w:rsidR="0064678C" w:rsidRPr="003261F4" w:rsidRDefault="0064678C" w:rsidP="000C3E27"/>
    <w:p w14:paraId="00AB2F0F" w14:textId="3F439484" w:rsidR="0064678C" w:rsidRPr="003261F4" w:rsidRDefault="0064678C" w:rsidP="000C3E27">
      <w:r w:rsidRPr="003261F4">
        <w:t xml:space="preserve">For transport </w:t>
      </w:r>
      <w:r w:rsidR="005D5AFC" w:rsidRPr="003261F4">
        <w:t>in dry ice, the dry ice should be placed around the secondary packaging</w:t>
      </w:r>
      <w:r w:rsidR="00E94389" w:rsidRPr="003261F4">
        <w:t xml:space="preserve"> (whilst wearing freezer gloves and goggles)</w:t>
      </w:r>
      <w:r w:rsidR="00870429" w:rsidRPr="003261F4">
        <w:t>,</w:t>
      </w:r>
      <w:r w:rsidR="005D5AFC" w:rsidRPr="003261F4">
        <w:t xml:space="preserve"> and the </w:t>
      </w:r>
      <w:r w:rsidR="00E94389" w:rsidRPr="003261F4">
        <w:t xml:space="preserve">secondary packaging and the outer packaging must allow the release of carbon dioxide gas to avoid the build-up of gas and potential rupturing of packaging or explosion. </w:t>
      </w:r>
    </w:p>
    <w:p w14:paraId="7A50B442" w14:textId="77777777" w:rsidR="00E94389" w:rsidRPr="003261F4" w:rsidRDefault="00E94389" w:rsidP="003261F4">
      <w:pPr>
        <w:pStyle w:val="Default"/>
        <w:jc w:val="both"/>
        <w:rPr>
          <w:color w:val="auto"/>
        </w:rPr>
      </w:pPr>
    </w:p>
    <w:p w14:paraId="42418140" w14:textId="13E8E8C0" w:rsidR="00E94389" w:rsidRPr="003261F4" w:rsidRDefault="00E94389" w:rsidP="000C3E27">
      <w:pPr>
        <w:pStyle w:val="Heading2"/>
      </w:pPr>
      <w:r w:rsidRPr="003261F4">
        <w:t xml:space="preserve">Transfer of samples – Labelling and paperwork </w:t>
      </w:r>
    </w:p>
    <w:p w14:paraId="301323D6" w14:textId="1F42E1B0" w:rsidR="004326D4" w:rsidRPr="003261F4" w:rsidRDefault="004326D4" w:rsidP="000C3E27">
      <w:r w:rsidRPr="003261F4">
        <w:t>Before samples are transferred, the following information should be included on the label</w:t>
      </w:r>
    </w:p>
    <w:p w14:paraId="69528EF3" w14:textId="77777777" w:rsidR="004326D4" w:rsidRPr="003261F4" w:rsidRDefault="004326D4" w:rsidP="000C3E27"/>
    <w:p w14:paraId="250666B7" w14:textId="77777777" w:rsidR="004326D4" w:rsidRPr="003261F4" w:rsidRDefault="004326D4" w:rsidP="000C3E27">
      <w:r w:rsidRPr="003261F4">
        <w:t xml:space="preserve">Sample Reference Number: </w:t>
      </w:r>
    </w:p>
    <w:p w14:paraId="019F4723" w14:textId="77777777" w:rsidR="004326D4" w:rsidRPr="003261F4" w:rsidRDefault="004326D4" w:rsidP="000C3E27">
      <w:r w:rsidRPr="003261F4">
        <w:t xml:space="preserve">Tissue Type: </w:t>
      </w:r>
    </w:p>
    <w:p w14:paraId="5678B639" w14:textId="77777777" w:rsidR="004326D4" w:rsidRPr="003261F4" w:rsidRDefault="004326D4" w:rsidP="000C3E27">
      <w:r w:rsidRPr="003261F4">
        <w:t xml:space="preserve">Details of medium/preservative if applicable: </w:t>
      </w:r>
    </w:p>
    <w:p w14:paraId="6FF37E80" w14:textId="77777777" w:rsidR="004326D4" w:rsidRPr="003261F4" w:rsidRDefault="004326D4" w:rsidP="000C3E27">
      <w:r w:rsidRPr="003261F4">
        <w:t xml:space="preserve">Date of packing: </w:t>
      </w:r>
    </w:p>
    <w:p w14:paraId="1ABCD4B4" w14:textId="77777777" w:rsidR="003261F4" w:rsidRDefault="003261F4" w:rsidP="000C3E27">
      <w:r>
        <w:t>UN 3373 warning label</w:t>
      </w:r>
    </w:p>
    <w:p w14:paraId="6B48D8FA" w14:textId="56050C7C" w:rsidR="004326D4" w:rsidRPr="003261F4" w:rsidRDefault="004326D4" w:rsidP="000C3E27">
      <w:pPr>
        <w:rPr>
          <w:color w:val="000000" w:themeColor="text1"/>
        </w:rPr>
      </w:pPr>
      <w:r w:rsidRPr="003261F4">
        <w:rPr>
          <w:color w:val="000000" w:themeColor="text1"/>
        </w:rPr>
        <w:t>(</w:t>
      </w:r>
      <w:r w:rsidR="008D66B4" w:rsidRPr="003261F4">
        <w:rPr>
          <w:color w:val="000000" w:themeColor="text1"/>
          <w:u w:val="single" w:color="0B4CB4"/>
          <w:lang w:val="en-US"/>
        </w:rPr>
        <w:t>https://www.tnt.com/dam/tnt_express_media/global_media_library/images/ppdownloads/2015_Guidance_Document_for_regulations_and_restrictions_UN3373_Jan2014.pdf)</w:t>
      </w:r>
    </w:p>
    <w:p w14:paraId="240D8FEC" w14:textId="77777777" w:rsidR="004326D4" w:rsidRPr="003261F4" w:rsidRDefault="004326D4" w:rsidP="000C3E27">
      <w:pPr>
        <w:rPr>
          <w:color w:val="000000" w:themeColor="text1"/>
        </w:rPr>
      </w:pPr>
    </w:p>
    <w:p w14:paraId="24BD7973" w14:textId="1D0EAB0B" w:rsidR="00E94389" w:rsidRPr="003261F4" w:rsidRDefault="00E94389" w:rsidP="000C3E27">
      <w:r w:rsidRPr="003261F4">
        <w:t xml:space="preserve">Paperwork, </w:t>
      </w:r>
      <w:r w:rsidR="009E70BB" w:rsidRPr="003261F4">
        <w:t xml:space="preserve">including a list of contents, must be placed in waterproof packaging, </w:t>
      </w:r>
      <w:r w:rsidR="00AA4DFF" w:rsidRPr="003261F4">
        <w:t xml:space="preserve">and placed between the secondary packaging and the outer packaging. Labels on the primary and secondary packaging should be waterproof and, where handwritten, should be in permanent black ink. Labels on the outer packaging must be durable, </w:t>
      </w:r>
      <w:r w:rsidR="00856F61" w:rsidRPr="003261F4">
        <w:t>legible,</w:t>
      </w:r>
      <w:r w:rsidR="00AA4DFF" w:rsidRPr="003261F4">
        <w:t xml:space="preserve"> and clearly visible. They should contain the delivery address and the </w:t>
      </w:r>
      <w:r w:rsidR="00856F61" w:rsidRPr="003261F4">
        <w:t>senders’</w:t>
      </w:r>
      <w:r w:rsidR="00AA4DFF" w:rsidRPr="003261F4">
        <w:t xml:space="preserve"> details. If transporting in dry ice, the words ‘DRY ICE’ should be clearly visible on the outside of the package. </w:t>
      </w:r>
    </w:p>
    <w:p w14:paraId="36406046" w14:textId="77777777" w:rsidR="00AA4DFF" w:rsidRPr="003261F4" w:rsidRDefault="00AA4DFF" w:rsidP="003261F4">
      <w:pPr>
        <w:pStyle w:val="Default"/>
        <w:jc w:val="both"/>
        <w:rPr>
          <w:color w:val="auto"/>
        </w:rPr>
      </w:pPr>
    </w:p>
    <w:p w14:paraId="27F88E79" w14:textId="7EF8AE5A" w:rsidR="00AA4DFF" w:rsidRPr="003261F4" w:rsidRDefault="00AA4DFF" w:rsidP="000C3E27">
      <w:r w:rsidRPr="003261F4">
        <w:t xml:space="preserve">A copy of the signed and countersigned MTA must accompany all human material released from the HTA licenced site. A copy of the donor consent form(s) should remain at the site; </w:t>
      </w:r>
      <w:r w:rsidR="00856F61" w:rsidRPr="003261F4">
        <w:t>however,</w:t>
      </w:r>
      <w:r w:rsidRPr="003261F4">
        <w:t xml:space="preserve"> a copy of the consent form may be sent to the third party upon request, but only if this does not contravene donor confidentiality or the terms of the ethics approval. </w:t>
      </w:r>
    </w:p>
    <w:p w14:paraId="0506CE1C" w14:textId="77777777" w:rsidR="00AA4DFF" w:rsidRPr="003261F4" w:rsidRDefault="00AA4DFF" w:rsidP="003261F4">
      <w:pPr>
        <w:pStyle w:val="Default"/>
        <w:jc w:val="both"/>
        <w:rPr>
          <w:color w:val="auto"/>
        </w:rPr>
      </w:pPr>
    </w:p>
    <w:p w14:paraId="19FA2068" w14:textId="06E26B6E" w:rsidR="00AA4DFF" w:rsidRPr="003261F4" w:rsidRDefault="007366BE" w:rsidP="000C3E27">
      <w:pPr>
        <w:pStyle w:val="Heading2"/>
      </w:pPr>
      <w:r w:rsidRPr="003261F4">
        <w:t>Transfer of samples – Transport</w:t>
      </w:r>
    </w:p>
    <w:p w14:paraId="58107D21" w14:textId="3B3AF906" w:rsidR="004326D4" w:rsidRPr="003261F4" w:rsidRDefault="004326D4" w:rsidP="000C3E27">
      <w:r w:rsidRPr="003261F4">
        <w:t xml:space="preserve">It is important that researchers check that the Courier SOPs are in place to ensure compliance with the Human Tissue Act (2004) and any other appropriate legislation, </w:t>
      </w:r>
      <w:r w:rsidR="003261F4">
        <w:t>ensure i</w:t>
      </w:r>
      <w:r w:rsidRPr="003261F4">
        <w:t xml:space="preserve">ntegrity </w:t>
      </w:r>
      <w:r w:rsidR="003261F4">
        <w:t xml:space="preserve">and </w:t>
      </w:r>
      <w:r w:rsidRPr="003261F4">
        <w:t>security of the sample</w:t>
      </w:r>
      <w:r w:rsidR="003261F4">
        <w:t>,</w:t>
      </w:r>
      <w:r w:rsidRPr="003261F4">
        <w:t xml:space="preserve"> and the respect for the dignity of the donor. </w:t>
      </w:r>
    </w:p>
    <w:p w14:paraId="6EDC0070" w14:textId="77777777" w:rsidR="004326D4" w:rsidRPr="003261F4" w:rsidRDefault="004326D4" w:rsidP="000C3E27"/>
    <w:p w14:paraId="29002D9B" w14:textId="03FAF76A" w:rsidR="007366BE" w:rsidRPr="003261F4" w:rsidRDefault="007366BE" w:rsidP="000C3E27">
      <w:r w:rsidRPr="003261F4">
        <w:t>Transport of human tissue samples by air requires additional documentation and, if transporting samples in dry ice</w:t>
      </w:r>
      <w:r w:rsidR="00AE40F2" w:rsidRPr="003261F4">
        <w:t xml:space="preserve">, additional regulations must be adhered to. </w:t>
      </w:r>
    </w:p>
    <w:p w14:paraId="1ED24703" w14:textId="77777777" w:rsidR="00AE40F2" w:rsidRPr="003261F4" w:rsidRDefault="00AE40F2" w:rsidP="000C3E27"/>
    <w:p w14:paraId="4DF24F42" w14:textId="3AC4E7D4" w:rsidR="00AE40F2" w:rsidRPr="003261F4" w:rsidRDefault="00AE40F2" w:rsidP="000C3E27">
      <w:r w:rsidRPr="003261F4">
        <w:t xml:space="preserve">Samples which require storage at different temperatures should be packaged separately. </w:t>
      </w:r>
    </w:p>
    <w:p w14:paraId="6307BC05" w14:textId="77777777" w:rsidR="00AE40F2" w:rsidRPr="003261F4" w:rsidRDefault="00AE40F2" w:rsidP="000C3E27"/>
    <w:p w14:paraId="2EFE8BF4" w14:textId="3C464327" w:rsidR="00AE40F2" w:rsidRPr="003261F4" w:rsidRDefault="00AE40F2" w:rsidP="000C3E27">
      <w:r w:rsidRPr="003261F4">
        <w:t xml:space="preserve">All persons undertaking any role in the transport chain should be properly trained to carry out their responsibilities to the required standards. They must appreciate the risks involved and have a detailed understanding of the relevant regulations. The level of training required varies </w:t>
      </w:r>
      <w:r w:rsidR="00E87B2E" w:rsidRPr="003261F4">
        <w:t xml:space="preserve">but should be commensurate with the role and the associated </w:t>
      </w:r>
      <w:r w:rsidR="00BE3B1D" w:rsidRPr="003261F4">
        <w:t xml:space="preserve">responsibilities and must be recurrent </w:t>
      </w:r>
      <w:r w:rsidR="0094529C" w:rsidRPr="003261F4">
        <w:t>to take</w:t>
      </w:r>
      <w:r w:rsidR="00BE3B1D" w:rsidRPr="003261F4">
        <w:t xml:space="preserve"> account of the changes in the regulations. </w:t>
      </w:r>
    </w:p>
    <w:p w14:paraId="31EB360B" w14:textId="77777777" w:rsidR="00B614DF" w:rsidRPr="003261F4" w:rsidRDefault="00B614DF" w:rsidP="000C3E27">
      <w:pPr>
        <w:rPr>
          <w:b/>
        </w:rPr>
      </w:pPr>
    </w:p>
    <w:p w14:paraId="2785131F" w14:textId="3A86E5DB" w:rsidR="00B614DF" w:rsidRPr="003261F4" w:rsidRDefault="00B614DF" w:rsidP="000C3E27">
      <w:r w:rsidRPr="003261F4">
        <w:t>Transport of human tissue by university staff and/or students can only be undertaken if the risk associated with the transfer has been evaluated as acceptable via a university risk assessment</w:t>
      </w:r>
      <w:r w:rsidR="00EA3834" w:rsidRPr="003261F4">
        <w:t xml:space="preserve"> at the </w:t>
      </w:r>
      <w:proofErr w:type="gramStart"/>
      <w:r w:rsidR="00EA3834" w:rsidRPr="003261F4">
        <w:t>Faculty</w:t>
      </w:r>
      <w:proofErr w:type="gramEnd"/>
      <w:r w:rsidR="00EA3834" w:rsidRPr="003261F4">
        <w:t xml:space="preserve"> level</w:t>
      </w:r>
      <w:r w:rsidRPr="003261F4">
        <w:t xml:space="preserve">. </w:t>
      </w:r>
    </w:p>
    <w:p w14:paraId="373B5EE9" w14:textId="77777777" w:rsidR="00B614DF" w:rsidRPr="003261F4" w:rsidRDefault="00B614DF" w:rsidP="003261F4">
      <w:pPr>
        <w:pStyle w:val="Default"/>
        <w:jc w:val="both"/>
      </w:pPr>
    </w:p>
    <w:p w14:paraId="7BB4D187" w14:textId="77777777" w:rsidR="00B614DF" w:rsidRPr="003261F4" w:rsidRDefault="00B614DF" w:rsidP="000C3E27">
      <w:r w:rsidRPr="003261F4">
        <w:t>The PI must be satisfied that procedures to be put in place to minimise risk are adequate and that the residual risk is acceptable.</w:t>
      </w:r>
    </w:p>
    <w:p w14:paraId="62D733C8" w14:textId="77777777" w:rsidR="00B614DF" w:rsidRPr="003261F4" w:rsidRDefault="00B614DF" w:rsidP="000C3E27"/>
    <w:p w14:paraId="74EA76B7" w14:textId="77777777" w:rsidR="00B614DF" w:rsidRPr="003261F4" w:rsidRDefault="00B614DF" w:rsidP="000C3E27">
      <w:r w:rsidRPr="003261F4">
        <w:t xml:space="preserve">The risk assessment should include consideration of the following: </w:t>
      </w:r>
    </w:p>
    <w:p w14:paraId="61D93C5F" w14:textId="7874FCD7" w:rsidR="00B614DF" w:rsidRPr="003261F4" w:rsidRDefault="00B614DF" w:rsidP="00755F91">
      <w:pPr>
        <w:pStyle w:val="ListParagraph"/>
        <w:numPr>
          <w:ilvl w:val="0"/>
          <w:numId w:val="8"/>
        </w:numPr>
      </w:pPr>
      <w:r w:rsidRPr="003261F4">
        <w:t xml:space="preserve">Personal risk to the individual undertaking the transfer </w:t>
      </w:r>
    </w:p>
    <w:p w14:paraId="65EDE5F2" w14:textId="77777777" w:rsidR="00B614DF" w:rsidRPr="003261F4" w:rsidRDefault="00B614DF" w:rsidP="00755F91">
      <w:pPr>
        <w:pStyle w:val="ListParagraph"/>
        <w:numPr>
          <w:ilvl w:val="0"/>
          <w:numId w:val="8"/>
        </w:numPr>
      </w:pPr>
      <w:r w:rsidRPr="003261F4">
        <w:t xml:space="preserve">Risk to the public during transfer (chemical and biological hazard) </w:t>
      </w:r>
    </w:p>
    <w:p w14:paraId="729B6228" w14:textId="58D7F042" w:rsidR="00B614DF" w:rsidRPr="003261F4" w:rsidRDefault="00B614DF" w:rsidP="00755F91">
      <w:pPr>
        <w:pStyle w:val="ListParagraph"/>
        <w:numPr>
          <w:ilvl w:val="0"/>
          <w:numId w:val="8"/>
        </w:numPr>
      </w:pPr>
      <w:r w:rsidRPr="003261F4">
        <w:t xml:space="preserve">Integrity of the sample </w:t>
      </w:r>
    </w:p>
    <w:p w14:paraId="5E1165F2" w14:textId="77777777" w:rsidR="00755F91" w:rsidRDefault="00B614DF" w:rsidP="00755F91">
      <w:pPr>
        <w:pStyle w:val="ListParagraph"/>
        <w:numPr>
          <w:ilvl w:val="0"/>
          <w:numId w:val="8"/>
        </w:numPr>
      </w:pPr>
      <w:r w:rsidRPr="003261F4">
        <w:t xml:space="preserve">Patient confidentiality </w:t>
      </w:r>
    </w:p>
    <w:p w14:paraId="24E7AB2F" w14:textId="2635191E" w:rsidR="00870429" w:rsidRDefault="00B614DF" w:rsidP="00755F91">
      <w:pPr>
        <w:pStyle w:val="ListParagraph"/>
        <w:numPr>
          <w:ilvl w:val="0"/>
          <w:numId w:val="8"/>
        </w:numPr>
      </w:pPr>
      <w:r w:rsidRPr="00755F91">
        <w:t>Individuals involved in the transfer of human tissue are reminded that transfers should re</w:t>
      </w:r>
      <w:r w:rsidR="00560B0F" w:rsidRPr="00755F91">
        <w:t>spect the dignity of the donor.</w:t>
      </w:r>
    </w:p>
    <w:p w14:paraId="0C7E72A0" w14:textId="77777777" w:rsidR="00755F91" w:rsidRPr="00755F91" w:rsidRDefault="00755F91" w:rsidP="00755F91">
      <w:pPr>
        <w:pStyle w:val="Default"/>
        <w:ind w:left="360"/>
        <w:jc w:val="both"/>
        <w:rPr>
          <w:color w:val="auto"/>
        </w:rPr>
      </w:pPr>
    </w:p>
    <w:p w14:paraId="216F8FBA" w14:textId="120DC341" w:rsidR="00B614DF" w:rsidRDefault="00B614DF" w:rsidP="00755F91">
      <w:r>
        <w:t>Undertake and document a risk assessment of the proposed method of transport</w:t>
      </w:r>
      <w:r w:rsidR="00755F91">
        <w:t>:</w:t>
      </w:r>
      <w:r>
        <w:t xml:space="preserve"> </w:t>
      </w:r>
    </w:p>
    <w:p w14:paraId="0443A0BF" w14:textId="19A1791D" w:rsidR="00B93C42" w:rsidRDefault="0053488C" w:rsidP="00755F91">
      <w:r w:rsidRPr="0053488C">
        <w:rPr>
          <w:noProof/>
        </w:rPr>
        <w:drawing>
          <wp:anchor distT="0" distB="0" distL="114300" distR="114300" simplePos="0" relativeHeight="251658241" behindDoc="1" locked="0" layoutInCell="1" allowOverlap="1" wp14:anchorId="5AA1B203" wp14:editId="547D6E97">
            <wp:simplePos x="0" y="0"/>
            <wp:positionH relativeFrom="column">
              <wp:posOffset>1162050</wp:posOffset>
            </wp:positionH>
            <wp:positionV relativeFrom="paragraph">
              <wp:posOffset>92661</wp:posOffset>
            </wp:positionV>
            <wp:extent cx="3651821" cy="2993395"/>
            <wp:effectExtent l="0" t="0" r="6350" b="0"/>
            <wp:wrapNone/>
            <wp:docPr id="162" name="Picture 161">
              <a:extLst xmlns:a="http://schemas.openxmlformats.org/drawingml/2006/main">
                <a:ext uri="{FF2B5EF4-FFF2-40B4-BE49-F238E27FC236}">
                  <a16:creationId xmlns:a16="http://schemas.microsoft.com/office/drawing/2014/main" id="{3FF5FE42-5EF7-D6A0-F7D4-FD5F61C01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1">
                      <a:extLst>
                        <a:ext uri="{FF2B5EF4-FFF2-40B4-BE49-F238E27FC236}">
                          <a16:creationId xmlns:a16="http://schemas.microsoft.com/office/drawing/2014/main" id="{3FF5FE42-5EF7-D6A0-F7D4-FD5F61C01F8D}"/>
                        </a:ext>
                      </a:extLst>
                    </pic:cNvPr>
                    <pic:cNvPicPr>
                      <a:picLocks noChangeAspect="1"/>
                    </pic:cNvPicPr>
                  </pic:nvPicPr>
                  <pic:blipFill>
                    <a:blip r:embed="rId19"/>
                    <a:stretch>
                      <a:fillRect/>
                    </a:stretch>
                  </pic:blipFill>
                  <pic:spPr>
                    <a:xfrm>
                      <a:off x="0" y="0"/>
                      <a:ext cx="3651821" cy="2993395"/>
                    </a:xfrm>
                    <a:prstGeom prst="rect">
                      <a:avLst/>
                    </a:prstGeom>
                  </pic:spPr>
                </pic:pic>
              </a:graphicData>
            </a:graphic>
            <wp14:sizeRelH relativeFrom="margin">
              <wp14:pctWidth>0</wp14:pctWidth>
            </wp14:sizeRelH>
            <wp14:sizeRelV relativeFrom="margin">
              <wp14:pctHeight>0</wp14:pctHeight>
            </wp14:sizeRelV>
          </wp:anchor>
        </w:drawing>
      </w:r>
    </w:p>
    <w:p w14:paraId="0A2ACFDD" w14:textId="2535BD07" w:rsidR="00495855" w:rsidRDefault="00495855" w:rsidP="00755F91"/>
    <w:p w14:paraId="472EABDC" w14:textId="77777777" w:rsidR="00495855" w:rsidRDefault="00495855" w:rsidP="00755F91"/>
    <w:p w14:paraId="1AC2B05A" w14:textId="77777777" w:rsidR="00495855" w:rsidRDefault="00495855" w:rsidP="00755F91"/>
    <w:p w14:paraId="2DCD1673" w14:textId="77777777" w:rsidR="00495855" w:rsidRDefault="00495855" w:rsidP="00755F91"/>
    <w:p w14:paraId="7552D2BD" w14:textId="5665ED24" w:rsidR="00495855" w:rsidRDefault="00495855" w:rsidP="00755F91"/>
    <w:p w14:paraId="64B6530B" w14:textId="77777777" w:rsidR="00495855" w:rsidRDefault="00495855" w:rsidP="00755F91"/>
    <w:p w14:paraId="5F9F017A" w14:textId="77777777" w:rsidR="00495855" w:rsidRDefault="00495855" w:rsidP="00755F91"/>
    <w:p w14:paraId="3ABB619F" w14:textId="77777777" w:rsidR="00495855" w:rsidRDefault="00495855" w:rsidP="00755F91"/>
    <w:p w14:paraId="10A42387" w14:textId="77777777" w:rsidR="00495855" w:rsidRDefault="00495855" w:rsidP="00755F91"/>
    <w:p w14:paraId="0B059A47" w14:textId="77777777" w:rsidR="00495855" w:rsidRDefault="00495855" w:rsidP="00755F91"/>
    <w:p w14:paraId="4B97579C" w14:textId="77777777" w:rsidR="00495855" w:rsidRDefault="00495855" w:rsidP="00755F91"/>
    <w:p w14:paraId="4449E5A4" w14:textId="605E1C88" w:rsidR="00495855" w:rsidRDefault="00495855" w:rsidP="00755F91"/>
    <w:p w14:paraId="6FF64AA6" w14:textId="77777777" w:rsidR="00495855" w:rsidRDefault="00495855" w:rsidP="00755F91"/>
    <w:p w14:paraId="610C7645" w14:textId="77777777" w:rsidR="00495855" w:rsidRDefault="00495855" w:rsidP="00755F91"/>
    <w:p w14:paraId="1E7A63D5" w14:textId="77777777" w:rsidR="00495855" w:rsidRDefault="00495855" w:rsidP="00755F91"/>
    <w:p w14:paraId="60F3D8B3" w14:textId="77777777" w:rsidR="00495855" w:rsidRDefault="00495855" w:rsidP="00755F91"/>
    <w:p w14:paraId="32B38F8A" w14:textId="77777777" w:rsidR="00495855" w:rsidRDefault="00495855" w:rsidP="00755F91"/>
    <w:p w14:paraId="04E19C6B" w14:textId="77777777" w:rsidR="00495855" w:rsidRDefault="00495855" w:rsidP="00755F91"/>
    <w:p w14:paraId="1354A00A" w14:textId="77777777" w:rsidR="00495855" w:rsidRDefault="00495855" w:rsidP="00755F91"/>
    <w:p w14:paraId="353105D9" w14:textId="3FD10125" w:rsidR="00560B0F" w:rsidRDefault="00BE3B1D" w:rsidP="00755F91">
      <w:r w:rsidRPr="1DECF455">
        <w:t>If transporting in dry ice in a standard car</w:t>
      </w:r>
      <w:r w:rsidR="007224AE" w:rsidRPr="1DECF455">
        <w:t>, as opposed to a commercial carrier such as DHL, then goods should not be transported in the same driving space that the driver/passengers occupy</w:t>
      </w:r>
      <w:r w:rsidR="490107F6" w:rsidRPr="1DECF455">
        <w:t>, and</w:t>
      </w:r>
      <w:r w:rsidR="007224AE" w:rsidRPr="1DECF455">
        <w:t xml:space="preserve"> when opening the boot compartment to retrieve a dry ice container the area should be allowed to ventilate to ensure any </w:t>
      </w:r>
      <w:r w:rsidR="0018335D" w:rsidRPr="1DECF455">
        <w:t>build-up</w:t>
      </w:r>
      <w:r w:rsidR="007224AE" w:rsidRPr="1DECF455">
        <w:t xml:space="preserve"> of CO</w:t>
      </w:r>
      <w:r w:rsidR="007224AE" w:rsidRPr="1DECF455">
        <w:rPr>
          <w:vertAlign w:val="subscript"/>
        </w:rPr>
        <w:t>2</w:t>
      </w:r>
      <w:r w:rsidR="007224AE" w:rsidRPr="1DECF455">
        <w:t xml:space="preserve"> gas dissipate</w:t>
      </w:r>
      <w:r w:rsidR="00560B0F" w:rsidRPr="1DECF455">
        <w:t>s before leaning into the area.</w:t>
      </w:r>
    </w:p>
    <w:p w14:paraId="265D6468" w14:textId="77777777" w:rsidR="00755F91" w:rsidRDefault="00755F91" w:rsidP="00560B0F">
      <w:pPr>
        <w:pStyle w:val="Default"/>
        <w:jc w:val="both"/>
        <w:rPr>
          <w:color w:val="auto"/>
          <w:sz w:val="22"/>
          <w:szCs w:val="22"/>
        </w:rPr>
      </w:pPr>
    </w:p>
    <w:p w14:paraId="276ADBB7" w14:textId="2AE9EE18" w:rsidR="007224AE" w:rsidRDefault="007224AE" w:rsidP="00755F91">
      <w:pPr>
        <w:pStyle w:val="Heading2"/>
      </w:pPr>
      <w:r>
        <w:t>Transfer of samples – safety</w:t>
      </w:r>
    </w:p>
    <w:p w14:paraId="6B5FCDE2" w14:textId="6C84DB1A" w:rsidR="007224AE" w:rsidRDefault="007224AE" w:rsidP="0053488C">
      <w:r>
        <w:t>Be aware of the weight of the package, do not overfill.</w:t>
      </w:r>
    </w:p>
    <w:p w14:paraId="467408DD" w14:textId="77777777" w:rsidR="007224AE" w:rsidRDefault="007224AE" w:rsidP="0053488C">
      <w:pPr>
        <w:rPr>
          <w:szCs w:val="22"/>
        </w:rPr>
      </w:pPr>
    </w:p>
    <w:p w14:paraId="3FD665F6" w14:textId="40453722" w:rsidR="007224AE" w:rsidRDefault="007224AE" w:rsidP="0053488C">
      <w:r>
        <w:t>When packaging/transporting in dry ice the following safety points should be noted:</w:t>
      </w:r>
    </w:p>
    <w:p w14:paraId="309E3432" w14:textId="4766EAFC" w:rsidR="007224AE" w:rsidRDefault="007224AE" w:rsidP="0053488C">
      <w:pPr>
        <w:pStyle w:val="ListParagraph"/>
        <w:numPr>
          <w:ilvl w:val="0"/>
          <w:numId w:val="10"/>
        </w:numPr>
      </w:pPr>
      <w:r>
        <w:t xml:space="preserve">Avoid contact with skin and eyes </w:t>
      </w:r>
    </w:p>
    <w:p w14:paraId="0FF90046" w14:textId="044054B1" w:rsidR="007224AE" w:rsidRDefault="004F1436" w:rsidP="0053488C">
      <w:pPr>
        <w:pStyle w:val="ListParagraph"/>
        <w:numPr>
          <w:ilvl w:val="0"/>
          <w:numId w:val="10"/>
        </w:numPr>
      </w:pPr>
      <w:r>
        <w:t xml:space="preserve">Never handle with bare hands, use insulated </w:t>
      </w:r>
      <w:r w:rsidR="00B96963">
        <w:t>gloves,</w:t>
      </w:r>
      <w:r>
        <w:t xml:space="preserve"> and use tongs to handle blocks of dry ice. Goggles are recommended</w:t>
      </w:r>
    </w:p>
    <w:p w14:paraId="6D65024B" w14:textId="2519CF52" w:rsidR="004F1436" w:rsidRDefault="004F1436" w:rsidP="0053488C">
      <w:pPr>
        <w:pStyle w:val="ListParagraph"/>
        <w:numPr>
          <w:ilvl w:val="0"/>
          <w:numId w:val="10"/>
        </w:numPr>
      </w:pPr>
      <w:r>
        <w:t>Obtain dry ice in the form and size in which it will be used. Do not attempt to saw or break a block into smaller pieces</w:t>
      </w:r>
    </w:p>
    <w:p w14:paraId="45FD22E7" w14:textId="0D260DDE" w:rsidR="004F1436" w:rsidRDefault="004F1436" w:rsidP="0053488C">
      <w:pPr>
        <w:pStyle w:val="ListParagraph"/>
        <w:numPr>
          <w:ilvl w:val="0"/>
          <w:numId w:val="10"/>
        </w:numPr>
      </w:pPr>
      <w:r>
        <w:t xml:space="preserve">Transport in a </w:t>
      </w:r>
      <w:r w:rsidR="00B96963">
        <w:t>well-ventilated</w:t>
      </w:r>
      <w:r>
        <w:t xml:space="preserve"> vehicle</w:t>
      </w:r>
    </w:p>
    <w:p w14:paraId="0D64EB4B" w14:textId="49E365F6" w:rsidR="004F1436" w:rsidRDefault="004F1436" w:rsidP="0053488C">
      <w:pPr>
        <w:pStyle w:val="ListParagraph"/>
        <w:numPr>
          <w:ilvl w:val="0"/>
          <w:numId w:val="10"/>
        </w:numPr>
      </w:pPr>
      <w:r>
        <w:t>Never store in an airtight container</w:t>
      </w:r>
    </w:p>
    <w:p w14:paraId="0416CA0A" w14:textId="33CB5BC5" w:rsidR="004F1436" w:rsidRDefault="004F1436" w:rsidP="0053488C">
      <w:pPr>
        <w:pStyle w:val="ListParagraph"/>
        <w:numPr>
          <w:ilvl w:val="0"/>
          <w:numId w:val="10"/>
        </w:numPr>
      </w:pPr>
      <w:r>
        <w:t xml:space="preserve">Do not use in confined areas – the </w:t>
      </w:r>
      <w:r w:rsidRPr="004F1436">
        <w:t>CO</w:t>
      </w:r>
      <w:r w:rsidRPr="0053488C">
        <w:rPr>
          <w:vertAlign w:val="subscript"/>
        </w:rPr>
        <w:t xml:space="preserve">2 </w:t>
      </w:r>
      <w:r>
        <w:t>vapour can cause rapid suffocation</w:t>
      </w:r>
    </w:p>
    <w:p w14:paraId="280528D1" w14:textId="6BFF5F6E" w:rsidR="004F1436" w:rsidRDefault="004F1436" w:rsidP="0053488C">
      <w:pPr>
        <w:pStyle w:val="ListParagraph"/>
        <w:numPr>
          <w:ilvl w:val="0"/>
          <w:numId w:val="10"/>
        </w:numPr>
      </w:pPr>
      <w:r>
        <w:t xml:space="preserve">Do not place dry ice on a tile or laminated </w:t>
      </w:r>
      <w:r w:rsidR="00B96963">
        <w:t>countertop</w:t>
      </w:r>
    </w:p>
    <w:p w14:paraId="68F3B366" w14:textId="735AD5A2" w:rsidR="004F1436" w:rsidRDefault="004F1436" w:rsidP="0053488C">
      <w:pPr>
        <w:pStyle w:val="ListParagraph"/>
        <w:numPr>
          <w:ilvl w:val="0"/>
          <w:numId w:val="10"/>
        </w:numPr>
      </w:pPr>
      <w:r w:rsidRPr="1DECF455">
        <w:t>Dispose of the dry ice by allowing it to sublimate in a well</w:t>
      </w:r>
      <w:r w:rsidR="0EFDB595" w:rsidRPr="1DECF455">
        <w:t>-</w:t>
      </w:r>
      <w:r w:rsidRPr="1DECF455">
        <w:t xml:space="preserve">ventilated area where no </w:t>
      </w:r>
      <w:r w:rsidR="0094529C" w:rsidRPr="1DECF455">
        <w:t>build-up</w:t>
      </w:r>
      <w:r w:rsidRPr="1DECF455">
        <w:t xml:space="preserve"> of CO</w:t>
      </w:r>
      <w:r w:rsidRPr="0053488C">
        <w:rPr>
          <w:vertAlign w:val="subscript"/>
        </w:rPr>
        <w:t xml:space="preserve">2 </w:t>
      </w:r>
      <w:r w:rsidRPr="1DECF455">
        <w:t>vapour can occur</w:t>
      </w:r>
    </w:p>
    <w:p w14:paraId="426CD748" w14:textId="77777777" w:rsidR="00755F91" w:rsidRDefault="00755F91" w:rsidP="0053488C"/>
    <w:p w14:paraId="4B7D86E9" w14:textId="4DE417AB" w:rsidR="00560B0F" w:rsidRDefault="000663F6" w:rsidP="0053488C">
      <w:r w:rsidRPr="1003B4E9">
        <w:t xml:space="preserve">Do </w:t>
      </w:r>
      <w:r w:rsidR="004326D4" w:rsidRPr="1003B4E9">
        <w:t xml:space="preserve">not dispose of dry ice in sewers, sinks or toilets as the extreme cold can </w:t>
      </w:r>
      <w:r w:rsidR="00560B0F" w:rsidRPr="1003B4E9">
        <w:t>damage sink disposals and pipes.</w:t>
      </w:r>
    </w:p>
    <w:p w14:paraId="06668898" w14:textId="2EF341E4" w:rsidR="1003B4E9" w:rsidRDefault="1003B4E9" w:rsidP="1003B4E9">
      <w:pPr>
        <w:pStyle w:val="Default"/>
        <w:rPr>
          <w:color w:val="auto"/>
          <w:sz w:val="22"/>
          <w:szCs w:val="22"/>
        </w:rPr>
      </w:pPr>
    </w:p>
    <w:p w14:paraId="07C96951" w14:textId="77777777" w:rsidR="00755F91" w:rsidRDefault="00755F91" w:rsidP="1003B4E9">
      <w:pPr>
        <w:pStyle w:val="Default"/>
        <w:rPr>
          <w:color w:val="auto"/>
          <w:sz w:val="22"/>
          <w:szCs w:val="22"/>
        </w:rPr>
      </w:pPr>
    </w:p>
    <w:p w14:paraId="435897CB" w14:textId="77777777" w:rsidR="00755F91" w:rsidRDefault="00755F91" w:rsidP="1003B4E9">
      <w:pPr>
        <w:pStyle w:val="Default"/>
        <w:rPr>
          <w:color w:val="auto"/>
          <w:sz w:val="22"/>
          <w:szCs w:val="22"/>
        </w:rPr>
      </w:pPr>
    </w:p>
    <w:p w14:paraId="4F037233" w14:textId="77777777" w:rsidR="00755F91" w:rsidRDefault="00755F91" w:rsidP="1003B4E9">
      <w:pPr>
        <w:pStyle w:val="Default"/>
        <w:rPr>
          <w:color w:val="auto"/>
          <w:sz w:val="22"/>
          <w:szCs w:val="22"/>
        </w:rPr>
      </w:pPr>
    </w:p>
    <w:p w14:paraId="4A05A940" w14:textId="77777777" w:rsidR="00755F91" w:rsidRDefault="00755F91" w:rsidP="1003B4E9">
      <w:pPr>
        <w:pStyle w:val="Default"/>
        <w:rPr>
          <w:color w:val="auto"/>
          <w:sz w:val="22"/>
          <w:szCs w:val="22"/>
        </w:rPr>
      </w:pPr>
    </w:p>
    <w:p w14:paraId="1C755ACF" w14:textId="77777777" w:rsidR="00755F91" w:rsidRDefault="00755F91" w:rsidP="1003B4E9">
      <w:pPr>
        <w:pStyle w:val="Default"/>
        <w:rPr>
          <w:color w:val="auto"/>
          <w:sz w:val="22"/>
          <w:szCs w:val="22"/>
        </w:rPr>
      </w:pPr>
    </w:p>
    <w:p w14:paraId="3EA39BD6" w14:textId="77777777" w:rsidR="00755F91" w:rsidRDefault="00755F91" w:rsidP="1003B4E9">
      <w:pPr>
        <w:pStyle w:val="Default"/>
        <w:rPr>
          <w:color w:val="auto"/>
          <w:sz w:val="22"/>
          <w:szCs w:val="22"/>
        </w:rPr>
      </w:pPr>
    </w:p>
    <w:p w14:paraId="16732273" w14:textId="77777777" w:rsidR="00755F91" w:rsidRDefault="00755F91" w:rsidP="1003B4E9">
      <w:pPr>
        <w:pStyle w:val="Default"/>
        <w:rPr>
          <w:color w:val="auto"/>
          <w:sz w:val="22"/>
          <w:szCs w:val="22"/>
        </w:rPr>
      </w:pPr>
    </w:p>
    <w:p w14:paraId="497F0FDC" w14:textId="77777777" w:rsidR="00755F91" w:rsidRDefault="00755F91" w:rsidP="1003B4E9">
      <w:pPr>
        <w:pStyle w:val="Default"/>
        <w:rPr>
          <w:color w:val="auto"/>
          <w:sz w:val="22"/>
          <w:szCs w:val="22"/>
        </w:rPr>
      </w:pPr>
    </w:p>
    <w:p w14:paraId="2A0BDA95" w14:textId="77777777" w:rsidR="00755F91" w:rsidRDefault="00755F91" w:rsidP="1003B4E9">
      <w:pPr>
        <w:pStyle w:val="Default"/>
        <w:rPr>
          <w:color w:val="auto"/>
          <w:sz w:val="22"/>
          <w:szCs w:val="22"/>
        </w:rPr>
      </w:pPr>
    </w:p>
    <w:p w14:paraId="631E065F" w14:textId="77777777" w:rsidR="00755F91" w:rsidRDefault="00755F91" w:rsidP="1003B4E9">
      <w:pPr>
        <w:pStyle w:val="Default"/>
        <w:rPr>
          <w:color w:val="auto"/>
          <w:sz w:val="22"/>
          <w:szCs w:val="22"/>
        </w:rPr>
      </w:pPr>
    </w:p>
    <w:p w14:paraId="09DEB1AD" w14:textId="77777777" w:rsidR="00755F91" w:rsidRDefault="00755F91" w:rsidP="1003B4E9">
      <w:pPr>
        <w:pStyle w:val="Default"/>
        <w:rPr>
          <w:color w:val="auto"/>
          <w:sz w:val="22"/>
          <w:szCs w:val="22"/>
        </w:rPr>
      </w:pPr>
    </w:p>
    <w:p w14:paraId="4DC7B18C" w14:textId="77777777" w:rsidR="00B96963" w:rsidRDefault="00B96963" w:rsidP="1003B4E9">
      <w:pPr>
        <w:pStyle w:val="Default"/>
        <w:rPr>
          <w:color w:val="auto"/>
          <w:sz w:val="22"/>
          <w:szCs w:val="22"/>
        </w:rPr>
      </w:pPr>
    </w:p>
    <w:p w14:paraId="0B9CD37A" w14:textId="77777777" w:rsidR="00B96963" w:rsidRDefault="00B96963" w:rsidP="1003B4E9">
      <w:pPr>
        <w:pStyle w:val="Default"/>
        <w:rPr>
          <w:color w:val="auto"/>
          <w:sz w:val="22"/>
          <w:szCs w:val="22"/>
        </w:rPr>
      </w:pPr>
    </w:p>
    <w:p w14:paraId="62943DE6" w14:textId="77777777" w:rsidR="00B96963" w:rsidRDefault="00B96963" w:rsidP="1003B4E9">
      <w:pPr>
        <w:pStyle w:val="Default"/>
        <w:rPr>
          <w:color w:val="auto"/>
          <w:sz w:val="22"/>
          <w:szCs w:val="22"/>
        </w:rPr>
      </w:pPr>
    </w:p>
    <w:p w14:paraId="6104D9AE" w14:textId="77777777" w:rsidR="00B96963" w:rsidRDefault="00B96963" w:rsidP="1003B4E9">
      <w:pPr>
        <w:pStyle w:val="Default"/>
        <w:rPr>
          <w:color w:val="auto"/>
          <w:sz w:val="22"/>
          <w:szCs w:val="22"/>
        </w:rPr>
      </w:pPr>
    </w:p>
    <w:p w14:paraId="6B1E9375" w14:textId="77777777" w:rsidR="00B96963" w:rsidRDefault="00B96963" w:rsidP="1003B4E9">
      <w:pPr>
        <w:pStyle w:val="Default"/>
        <w:rPr>
          <w:color w:val="auto"/>
          <w:sz w:val="22"/>
          <w:szCs w:val="22"/>
        </w:rPr>
      </w:pPr>
    </w:p>
    <w:p w14:paraId="5415313F" w14:textId="77777777" w:rsidR="00B96963" w:rsidRDefault="00B96963" w:rsidP="1003B4E9">
      <w:pPr>
        <w:pStyle w:val="Default"/>
        <w:rPr>
          <w:color w:val="auto"/>
          <w:sz w:val="22"/>
          <w:szCs w:val="22"/>
        </w:rPr>
      </w:pPr>
    </w:p>
    <w:p w14:paraId="7BFF55DE" w14:textId="77777777" w:rsidR="00B96963" w:rsidRDefault="00B96963" w:rsidP="1003B4E9">
      <w:pPr>
        <w:pStyle w:val="Default"/>
        <w:rPr>
          <w:color w:val="auto"/>
          <w:sz w:val="22"/>
          <w:szCs w:val="22"/>
        </w:rPr>
      </w:pPr>
    </w:p>
    <w:p w14:paraId="1DE23577" w14:textId="77777777" w:rsidR="00B96963" w:rsidRDefault="00B96963" w:rsidP="1003B4E9">
      <w:pPr>
        <w:pStyle w:val="Default"/>
        <w:rPr>
          <w:color w:val="auto"/>
          <w:sz w:val="22"/>
          <w:szCs w:val="22"/>
        </w:rPr>
      </w:pPr>
    </w:p>
    <w:p w14:paraId="00D58ECD" w14:textId="77777777" w:rsidR="00B96963" w:rsidRDefault="00B96963" w:rsidP="1003B4E9">
      <w:pPr>
        <w:pStyle w:val="Default"/>
        <w:rPr>
          <w:color w:val="auto"/>
          <w:sz w:val="22"/>
          <w:szCs w:val="22"/>
        </w:rPr>
      </w:pPr>
    </w:p>
    <w:p w14:paraId="2D59101A" w14:textId="77777777" w:rsidR="00B96963" w:rsidRDefault="00B96963" w:rsidP="1003B4E9">
      <w:pPr>
        <w:pStyle w:val="Default"/>
        <w:rPr>
          <w:color w:val="auto"/>
          <w:sz w:val="22"/>
          <w:szCs w:val="22"/>
        </w:rPr>
      </w:pPr>
    </w:p>
    <w:p w14:paraId="357D4533" w14:textId="77777777" w:rsidR="00B96963" w:rsidRDefault="00B96963" w:rsidP="1003B4E9">
      <w:pPr>
        <w:pStyle w:val="Default"/>
        <w:rPr>
          <w:color w:val="auto"/>
          <w:sz w:val="22"/>
          <w:szCs w:val="22"/>
        </w:rPr>
      </w:pPr>
    </w:p>
    <w:p w14:paraId="72FCF5C6" w14:textId="77777777" w:rsidR="00B96963" w:rsidRDefault="00B96963" w:rsidP="1003B4E9">
      <w:pPr>
        <w:pStyle w:val="Default"/>
        <w:rPr>
          <w:color w:val="auto"/>
          <w:sz w:val="22"/>
          <w:szCs w:val="22"/>
        </w:rPr>
      </w:pPr>
    </w:p>
    <w:p w14:paraId="226FB059" w14:textId="77777777" w:rsidR="00B96963" w:rsidRDefault="00B96963" w:rsidP="1003B4E9">
      <w:pPr>
        <w:pStyle w:val="Default"/>
        <w:rPr>
          <w:color w:val="auto"/>
          <w:sz w:val="22"/>
          <w:szCs w:val="22"/>
        </w:rPr>
      </w:pPr>
    </w:p>
    <w:p w14:paraId="1FE8C841" w14:textId="77777777" w:rsidR="00B96963" w:rsidRDefault="00B96963" w:rsidP="1003B4E9">
      <w:pPr>
        <w:pStyle w:val="Default"/>
        <w:rPr>
          <w:color w:val="auto"/>
          <w:sz w:val="22"/>
          <w:szCs w:val="22"/>
        </w:rPr>
      </w:pPr>
    </w:p>
    <w:p w14:paraId="684D9A52" w14:textId="77777777" w:rsidR="00B96963" w:rsidRDefault="00B96963" w:rsidP="1003B4E9">
      <w:pPr>
        <w:pStyle w:val="Default"/>
        <w:rPr>
          <w:color w:val="auto"/>
          <w:sz w:val="22"/>
          <w:szCs w:val="22"/>
        </w:rPr>
      </w:pPr>
    </w:p>
    <w:p w14:paraId="44748F06" w14:textId="77777777" w:rsidR="00B96963" w:rsidRDefault="00B96963" w:rsidP="1003B4E9">
      <w:pPr>
        <w:pStyle w:val="Default"/>
        <w:rPr>
          <w:color w:val="auto"/>
          <w:sz w:val="22"/>
          <w:szCs w:val="22"/>
        </w:rPr>
      </w:pPr>
    </w:p>
    <w:p w14:paraId="750E763B" w14:textId="77777777" w:rsidR="00B96963" w:rsidRDefault="00B96963" w:rsidP="1003B4E9">
      <w:pPr>
        <w:pStyle w:val="Default"/>
        <w:rPr>
          <w:color w:val="auto"/>
          <w:sz w:val="22"/>
          <w:szCs w:val="22"/>
        </w:rPr>
      </w:pPr>
    </w:p>
    <w:p w14:paraId="4DB69423" w14:textId="77777777" w:rsidR="00B96963" w:rsidRDefault="00B96963" w:rsidP="1003B4E9">
      <w:pPr>
        <w:pStyle w:val="Default"/>
        <w:rPr>
          <w:color w:val="auto"/>
          <w:sz w:val="22"/>
          <w:szCs w:val="22"/>
        </w:rPr>
      </w:pPr>
    </w:p>
    <w:p w14:paraId="5B78AA0B" w14:textId="77777777" w:rsidR="00B96963" w:rsidRDefault="00B96963" w:rsidP="1003B4E9">
      <w:pPr>
        <w:pStyle w:val="Default"/>
        <w:rPr>
          <w:color w:val="auto"/>
          <w:sz w:val="22"/>
          <w:szCs w:val="22"/>
        </w:rPr>
      </w:pPr>
    </w:p>
    <w:p w14:paraId="5356C2BE" w14:textId="77777777" w:rsidR="00B96963" w:rsidRDefault="00B96963" w:rsidP="1003B4E9">
      <w:pPr>
        <w:pStyle w:val="Default"/>
        <w:rPr>
          <w:color w:val="auto"/>
          <w:sz w:val="22"/>
          <w:szCs w:val="22"/>
        </w:rPr>
      </w:pPr>
    </w:p>
    <w:p w14:paraId="55421121" w14:textId="77777777" w:rsidR="00B96963" w:rsidRDefault="00B96963" w:rsidP="1003B4E9">
      <w:pPr>
        <w:pStyle w:val="Default"/>
        <w:rPr>
          <w:color w:val="auto"/>
          <w:sz w:val="22"/>
          <w:szCs w:val="22"/>
        </w:rPr>
      </w:pPr>
    </w:p>
    <w:p w14:paraId="7B44385C" w14:textId="77777777" w:rsidR="00BC70AB" w:rsidRDefault="00BC70AB" w:rsidP="1003B4E9">
      <w:pPr>
        <w:pStyle w:val="Default"/>
        <w:rPr>
          <w:color w:val="auto"/>
          <w:sz w:val="22"/>
          <w:szCs w:val="22"/>
        </w:rPr>
      </w:pPr>
    </w:p>
    <w:p w14:paraId="1062B98B" w14:textId="77777777" w:rsidR="00755F91" w:rsidRDefault="00755F91" w:rsidP="1003B4E9">
      <w:pPr>
        <w:pStyle w:val="Default"/>
        <w:rPr>
          <w:color w:val="auto"/>
          <w:sz w:val="22"/>
          <w:szCs w:val="22"/>
        </w:rPr>
      </w:pPr>
    </w:p>
    <w:p w14:paraId="661E58D5" w14:textId="5EDDB01D" w:rsidR="00251161" w:rsidRPr="00872C4B" w:rsidRDefault="00B84D21" w:rsidP="0BFBDA24">
      <w:pPr>
        <w:pStyle w:val="Default"/>
        <w:rPr>
          <w:b/>
          <w:bCs/>
          <w:sz w:val="28"/>
          <w:szCs w:val="28"/>
        </w:rPr>
      </w:pPr>
      <w:r w:rsidRPr="00872C4B">
        <w:rPr>
          <w:noProof/>
          <w:sz w:val="28"/>
          <w:szCs w:val="28"/>
          <w:lang w:eastAsia="en-GB"/>
        </w:rPr>
        <w:drawing>
          <wp:anchor distT="0" distB="0" distL="114300" distR="114300" simplePos="0" relativeHeight="251658240" behindDoc="0" locked="0" layoutInCell="1" allowOverlap="1" wp14:anchorId="44005073" wp14:editId="6A002183">
            <wp:simplePos x="0" y="0"/>
            <wp:positionH relativeFrom="margin">
              <wp:posOffset>4934146</wp:posOffset>
            </wp:positionH>
            <wp:positionV relativeFrom="paragraph">
              <wp:posOffset>-123385</wp:posOffset>
            </wp:positionV>
            <wp:extent cx="1594053" cy="612250"/>
            <wp:effectExtent l="0" t="0" r="6350" b="0"/>
            <wp:wrapNone/>
            <wp:docPr id="205" name="Picture 205" descr="C:\Users\55124039\AppData\Local\Microsoft\Windows\Temporary Internet Files\Content.Outlook\0V7G28RO\MM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124039\AppData\Local\Microsoft\Windows\Temporary Internet Files\Content.Outlook\0V7G28RO\MMU New 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4053" cy="61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161" w:rsidRPr="0BFBDA24">
        <w:rPr>
          <w:b/>
          <w:bCs/>
          <w:sz w:val="28"/>
          <w:szCs w:val="28"/>
        </w:rPr>
        <w:t xml:space="preserve">Appendix 1 </w:t>
      </w:r>
    </w:p>
    <w:p w14:paraId="3542C469" w14:textId="77777777" w:rsidR="00B84D21" w:rsidRDefault="00B84D21" w:rsidP="004D781F">
      <w:pPr>
        <w:jc w:val="center"/>
        <w:rPr>
          <w:b/>
          <w:szCs w:val="22"/>
          <w:u w:val="single"/>
        </w:rPr>
      </w:pPr>
    </w:p>
    <w:p w14:paraId="5D75D299" w14:textId="77777777" w:rsidR="00B84D21" w:rsidRDefault="00B84D21" w:rsidP="004D781F">
      <w:pPr>
        <w:jc w:val="center"/>
        <w:rPr>
          <w:b/>
          <w:szCs w:val="22"/>
          <w:u w:val="single"/>
        </w:rPr>
      </w:pPr>
    </w:p>
    <w:p w14:paraId="7FE51962" w14:textId="77777777" w:rsidR="00B84D21" w:rsidRPr="007B7845" w:rsidRDefault="00B84D21" w:rsidP="004D781F">
      <w:pPr>
        <w:jc w:val="center"/>
        <w:rPr>
          <w:b/>
          <w:szCs w:val="22"/>
          <w:u w:val="single"/>
        </w:rPr>
      </w:pPr>
      <w:r w:rsidRPr="007B7845">
        <w:rPr>
          <w:b/>
          <w:szCs w:val="22"/>
          <w:u w:val="single"/>
        </w:rPr>
        <w:t xml:space="preserve">Agreement for transfer of Archival tissue for projects with </w:t>
      </w:r>
      <w:r>
        <w:rPr>
          <w:b/>
          <w:szCs w:val="22"/>
          <w:u w:val="single"/>
        </w:rPr>
        <w:t xml:space="preserve">NHS </w:t>
      </w:r>
      <w:r w:rsidRPr="007B7845">
        <w:rPr>
          <w:b/>
          <w:szCs w:val="22"/>
          <w:u w:val="single"/>
        </w:rPr>
        <w:t>ethical approval</w:t>
      </w:r>
      <w:r>
        <w:rPr>
          <w:b/>
          <w:szCs w:val="22"/>
          <w:u w:val="single"/>
        </w:rPr>
        <w:t xml:space="preserve"> </w:t>
      </w:r>
    </w:p>
    <w:p w14:paraId="130BC5C8" w14:textId="77777777" w:rsidR="00B84D21" w:rsidRDefault="00B84D21" w:rsidP="004D781F">
      <w:pPr>
        <w:rPr>
          <w:b/>
          <w:szCs w:val="22"/>
        </w:rPr>
      </w:pPr>
    </w:p>
    <w:p w14:paraId="45AF42D4" w14:textId="77777777" w:rsidR="00B84D21" w:rsidRDefault="00B84D21" w:rsidP="004D781F">
      <w:pPr>
        <w:rPr>
          <w:b/>
          <w:szCs w:val="22"/>
        </w:rPr>
      </w:pPr>
    </w:p>
    <w:p w14:paraId="6FA38931" w14:textId="77777777" w:rsidR="00B84D21" w:rsidRDefault="00B84D21" w:rsidP="00872C4B">
      <w:pPr>
        <w:pStyle w:val="ListParagraph"/>
        <w:numPr>
          <w:ilvl w:val="0"/>
          <w:numId w:val="6"/>
        </w:numPr>
        <w:rPr>
          <w:szCs w:val="22"/>
        </w:rPr>
      </w:pPr>
      <w:r w:rsidRPr="007B7845">
        <w:rPr>
          <w:szCs w:val="22"/>
        </w:rPr>
        <w:t>I confirm that the samples have been requested for a specific research project with ethical approval from an NHS Research Ethics Committee (REC)</w:t>
      </w:r>
      <w:r>
        <w:rPr>
          <w:szCs w:val="22"/>
        </w:rPr>
        <w:t xml:space="preserve">. </w:t>
      </w:r>
    </w:p>
    <w:p w14:paraId="6FD31642" w14:textId="77777777" w:rsidR="00B84D21" w:rsidRDefault="00B84D21" w:rsidP="004D781F">
      <w:pPr>
        <w:pStyle w:val="ListParagraph"/>
        <w:ind w:left="360"/>
        <w:rPr>
          <w:szCs w:val="22"/>
        </w:rPr>
      </w:pPr>
    </w:p>
    <w:tbl>
      <w:tblPr>
        <w:tblStyle w:val="TableGrid"/>
        <w:tblW w:w="5000" w:type="pct"/>
        <w:tblLook w:val="04A0" w:firstRow="1" w:lastRow="0" w:firstColumn="1" w:lastColumn="0" w:noHBand="0" w:noVBand="1"/>
      </w:tblPr>
      <w:tblGrid>
        <w:gridCol w:w="1596"/>
        <w:gridCol w:w="7420"/>
      </w:tblGrid>
      <w:tr w:rsidR="00B84D21" w14:paraId="32016666" w14:textId="77777777" w:rsidTr="005E66BC">
        <w:tc>
          <w:tcPr>
            <w:tcW w:w="885" w:type="pct"/>
            <w:vAlign w:val="center"/>
          </w:tcPr>
          <w:p w14:paraId="1009CCC1" w14:textId="77777777" w:rsidR="00B84D21" w:rsidRDefault="00B84D21" w:rsidP="005E66BC">
            <w:pPr>
              <w:pStyle w:val="ListParagraph"/>
              <w:ind w:left="0"/>
              <w:jc w:val="left"/>
              <w:rPr>
                <w:sz w:val="22"/>
                <w:szCs w:val="22"/>
              </w:rPr>
            </w:pPr>
            <w:r>
              <w:rPr>
                <w:sz w:val="22"/>
                <w:szCs w:val="22"/>
              </w:rPr>
              <w:t xml:space="preserve">Project Title: </w:t>
            </w:r>
          </w:p>
        </w:tc>
        <w:tc>
          <w:tcPr>
            <w:tcW w:w="4115" w:type="pct"/>
          </w:tcPr>
          <w:p w14:paraId="6300B571" w14:textId="77777777" w:rsidR="00B84D21" w:rsidRDefault="00B84D21" w:rsidP="004D781F">
            <w:pPr>
              <w:pStyle w:val="ListParagraph"/>
              <w:ind w:left="0"/>
              <w:rPr>
                <w:sz w:val="22"/>
                <w:szCs w:val="22"/>
              </w:rPr>
            </w:pPr>
          </w:p>
          <w:p w14:paraId="2D3DAC22" w14:textId="77777777" w:rsidR="00B84D21" w:rsidRDefault="00B84D21" w:rsidP="004D781F">
            <w:pPr>
              <w:pStyle w:val="ListParagraph"/>
              <w:ind w:left="0"/>
              <w:rPr>
                <w:sz w:val="22"/>
                <w:szCs w:val="22"/>
              </w:rPr>
            </w:pPr>
          </w:p>
        </w:tc>
      </w:tr>
      <w:tr w:rsidR="00B84D21" w14:paraId="35AD158C" w14:textId="77777777" w:rsidTr="005E66BC">
        <w:tc>
          <w:tcPr>
            <w:tcW w:w="885" w:type="pct"/>
            <w:vAlign w:val="center"/>
          </w:tcPr>
          <w:p w14:paraId="7AC22CEB" w14:textId="77777777" w:rsidR="00B84D21" w:rsidRDefault="00B84D21" w:rsidP="005E66BC">
            <w:pPr>
              <w:pStyle w:val="ListParagraph"/>
              <w:ind w:left="0"/>
              <w:jc w:val="left"/>
              <w:rPr>
                <w:sz w:val="22"/>
                <w:szCs w:val="22"/>
              </w:rPr>
            </w:pPr>
            <w:r>
              <w:rPr>
                <w:sz w:val="22"/>
                <w:szCs w:val="22"/>
              </w:rPr>
              <w:t>REC approval number:</w:t>
            </w:r>
          </w:p>
        </w:tc>
        <w:tc>
          <w:tcPr>
            <w:tcW w:w="4115" w:type="pct"/>
          </w:tcPr>
          <w:p w14:paraId="064239B9" w14:textId="77777777" w:rsidR="00B84D21" w:rsidRDefault="00B84D21" w:rsidP="004D781F">
            <w:pPr>
              <w:pStyle w:val="ListParagraph"/>
              <w:ind w:left="0"/>
              <w:rPr>
                <w:sz w:val="22"/>
                <w:szCs w:val="22"/>
              </w:rPr>
            </w:pPr>
          </w:p>
        </w:tc>
      </w:tr>
      <w:tr w:rsidR="00B84D21" w14:paraId="05D1DB2C" w14:textId="77777777" w:rsidTr="005E66BC">
        <w:tc>
          <w:tcPr>
            <w:tcW w:w="885" w:type="pct"/>
            <w:vAlign w:val="center"/>
          </w:tcPr>
          <w:p w14:paraId="4C205D32" w14:textId="77777777" w:rsidR="00B84D21" w:rsidRDefault="00B84D21" w:rsidP="005E66BC">
            <w:pPr>
              <w:pStyle w:val="ListParagraph"/>
              <w:ind w:left="0"/>
              <w:jc w:val="left"/>
              <w:rPr>
                <w:sz w:val="22"/>
                <w:szCs w:val="22"/>
              </w:rPr>
            </w:pPr>
            <w:r>
              <w:rPr>
                <w:sz w:val="22"/>
                <w:szCs w:val="22"/>
              </w:rPr>
              <w:t>Project start date:</w:t>
            </w:r>
          </w:p>
        </w:tc>
        <w:tc>
          <w:tcPr>
            <w:tcW w:w="4115" w:type="pct"/>
          </w:tcPr>
          <w:p w14:paraId="10A42FFE" w14:textId="77777777" w:rsidR="00B84D21" w:rsidRDefault="00B84D21" w:rsidP="004D781F">
            <w:pPr>
              <w:pStyle w:val="ListParagraph"/>
              <w:ind w:left="0"/>
              <w:rPr>
                <w:sz w:val="22"/>
                <w:szCs w:val="22"/>
              </w:rPr>
            </w:pPr>
          </w:p>
        </w:tc>
      </w:tr>
      <w:tr w:rsidR="00B84D21" w14:paraId="25E2E951" w14:textId="77777777" w:rsidTr="005E66BC">
        <w:tc>
          <w:tcPr>
            <w:tcW w:w="885" w:type="pct"/>
            <w:vAlign w:val="center"/>
          </w:tcPr>
          <w:p w14:paraId="5ED1EDCA" w14:textId="77777777" w:rsidR="00B84D21" w:rsidRDefault="00B84D21" w:rsidP="005E66BC">
            <w:pPr>
              <w:pStyle w:val="ListParagraph"/>
              <w:ind w:left="0"/>
              <w:jc w:val="left"/>
              <w:rPr>
                <w:sz w:val="22"/>
                <w:szCs w:val="22"/>
              </w:rPr>
            </w:pPr>
            <w:r>
              <w:rPr>
                <w:sz w:val="22"/>
                <w:szCs w:val="22"/>
              </w:rPr>
              <w:t xml:space="preserve">Project finish date: </w:t>
            </w:r>
          </w:p>
        </w:tc>
        <w:tc>
          <w:tcPr>
            <w:tcW w:w="4115" w:type="pct"/>
          </w:tcPr>
          <w:p w14:paraId="369C512D" w14:textId="77777777" w:rsidR="00B84D21" w:rsidRDefault="00B84D21" w:rsidP="004D781F">
            <w:pPr>
              <w:pStyle w:val="ListParagraph"/>
              <w:ind w:left="0"/>
              <w:rPr>
                <w:sz w:val="22"/>
                <w:szCs w:val="22"/>
              </w:rPr>
            </w:pPr>
          </w:p>
        </w:tc>
      </w:tr>
    </w:tbl>
    <w:p w14:paraId="0D1D8439" w14:textId="77777777" w:rsidR="00B84D21" w:rsidRDefault="00B84D21" w:rsidP="004D781F">
      <w:pPr>
        <w:pStyle w:val="ListParagraph"/>
        <w:rPr>
          <w:szCs w:val="22"/>
        </w:rPr>
      </w:pPr>
    </w:p>
    <w:p w14:paraId="4066303C" w14:textId="77777777" w:rsidR="00B84D21" w:rsidRDefault="00B84D21" w:rsidP="00872C4B">
      <w:pPr>
        <w:pStyle w:val="ListParagraph"/>
        <w:numPr>
          <w:ilvl w:val="0"/>
          <w:numId w:val="6"/>
        </w:numPr>
        <w:rPr>
          <w:szCs w:val="22"/>
        </w:rPr>
      </w:pPr>
      <w:r>
        <w:rPr>
          <w:szCs w:val="22"/>
        </w:rPr>
        <w:t>I confirm that (initial as appropriate)</w:t>
      </w:r>
    </w:p>
    <w:p w14:paraId="2B554A1C" w14:textId="77777777" w:rsidR="00B84D21" w:rsidRDefault="00B84D21" w:rsidP="004D781F">
      <w:pPr>
        <w:pStyle w:val="ListParagraph"/>
        <w:ind w:left="360"/>
        <w:rPr>
          <w:szCs w:val="22"/>
        </w:rPr>
      </w:pPr>
    </w:p>
    <w:tbl>
      <w:tblPr>
        <w:tblStyle w:val="TableGrid"/>
        <w:tblW w:w="5000" w:type="pct"/>
        <w:tblLook w:val="04A0" w:firstRow="1" w:lastRow="0" w:firstColumn="1" w:lastColumn="0" w:noHBand="0" w:noVBand="1"/>
      </w:tblPr>
      <w:tblGrid>
        <w:gridCol w:w="7065"/>
        <w:gridCol w:w="1951"/>
      </w:tblGrid>
      <w:tr w:rsidR="00B84D21" w14:paraId="6AFE507A" w14:textId="77777777" w:rsidTr="005330FC">
        <w:trPr>
          <w:trHeight w:val="506"/>
        </w:trPr>
        <w:tc>
          <w:tcPr>
            <w:tcW w:w="3918" w:type="pct"/>
            <w:vAlign w:val="center"/>
          </w:tcPr>
          <w:p w14:paraId="0208E59F" w14:textId="77777777" w:rsidR="00B84D21" w:rsidRDefault="00B84D21" w:rsidP="005E66BC">
            <w:pPr>
              <w:jc w:val="left"/>
              <w:rPr>
                <w:sz w:val="22"/>
                <w:szCs w:val="22"/>
              </w:rPr>
            </w:pPr>
            <w:r>
              <w:rPr>
                <w:sz w:val="22"/>
                <w:szCs w:val="22"/>
              </w:rPr>
              <w:t>Patient(s) has/have given consent for the samples to be used in this research project.</w:t>
            </w:r>
          </w:p>
        </w:tc>
        <w:tc>
          <w:tcPr>
            <w:tcW w:w="1082" w:type="pct"/>
            <w:vAlign w:val="center"/>
          </w:tcPr>
          <w:p w14:paraId="2A5DC93F" w14:textId="77777777" w:rsidR="00B84D21" w:rsidRDefault="00B84D21" w:rsidP="005330FC">
            <w:pPr>
              <w:jc w:val="center"/>
              <w:rPr>
                <w:sz w:val="22"/>
                <w:szCs w:val="22"/>
              </w:rPr>
            </w:pPr>
          </w:p>
        </w:tc>
      </w:tr>
      <w:tr w:rsidR="00B84D21" w14:paraId="355A3D61" w14:textId="77777777" w:rsidTr="005330FC">
        <w:trPr>
          <w:trHeight w:val="506"/>
        </w:trPr>
        <w:tc>
          <w:tcPr>
            <w:tcW w:w="3918" w:type="pct"/>
            <w:vAlign w:val="center"/>
          </w:tcPr>
          <w:p w14:paraId="08561332" w14:textId="67CF42DB" w:rsidR="00B84D21" w:rsidRDefault="00B84D21" w:rsidP="005E66BC">
            <w:pPr>
              <w:jc w:val="left"/>
              <w:rPr>
                <w:sz w:val="22"/>
                <w:szCs w:val="22"/>
              </w:rPr>
            </w:pPr>
            <w:r>
              <w:rPr>
                <w:sz w:val="22"/>
                <w:szCs w:val="22"/>
              </w:rPr>
              <w:t>Consent exemption has been granted by the NHS REC</w:t>
            </w:r>
          </w:p>
        </w:tc>
        <w:tc>
          <w:tcPr>
            <w:tcW w:w="1082" w:type="pct"/>
            <w:vAlign w:val="center"/>
          </w:tcPr>
          <w:p w14:paraId="692B1890" w14:textId="77777777" w:rsidR="00B84D21" w:rsidRDefault="00B84D21" w:rsidP="005330FC">
            <w:pPr>
              <w:jc w:val="center"/>
              <w:rPr>
                <w:sz w:val="22"/>
                <w:szCs w:val="22"/>
              </w:rPr>
            </w:pPr>
          </w:p>
        </w:tc>
      </w:tr>
    </w:tbl>
    <w:p w14:paraId="61F18FBF" w14:textId="77777777" w:rsidR="00B84D21" w:rsidRDefault="00B84D21" w:rsidP="004D781F">
      <w:pPr>
        <w:rPr>
          <w:szCs w:val="22"/>
        </w:rPr>
      </w:pPr>
    </w:p>
    <w:p w14:paraId="0B24869B" w14:textId="77777777" w:rsidR="00B84D21" w:rsidRPr="00924CD1" w:rsidRDefault="00B84D21" w:rsidP="00872C4B">
      <w:pPr>
        <w:pStyle w:val="ListParagraph"/>
        <w:numPr>
          <w:ilvl w:val="0"/>
          <w:numId w:val="6"/>
        </w:numPr>
        <w:spacing w:after="240"/>
      </w:pPr>
      <w:r w:rsidRPr="00924CD1">
        <w:rPr>
          <w:szCs w:val="22"/>
        </w:rPr>
        <w:t>I agree to abide by all relevant UK legislation</w:t>
      </w:r>
      <w:r>
        <w:rPr>
          <w:szCs w:val="22"/>
        </w:rPr>
        <w:t xml:space="preserve"> pertaining to the use of human tissues and data including the Human Tissue Act (2004) and its Codes of Practice, and the Data Protection Act (1998).</w:t>
      </w:r>
    </w:p>
    <w:p w14:paraId="134C9139" w14:textId="77777777" w:rsidR="00B84D21" w:rsidRPr="00924CD1" w:rsidRDefault="00B84D21" w:rsidP="004D781F">
      <w:pPr>
        <w:pStyle w:val="ListParagraph"/>
        <w:spacing w:after="240"/>
        <w:ind w:left="360"/>
      </w:pPr>
    </w:p>
    <w:p w14:paraId="7B6BF1EC" w14:textId="77777777" w:rsidR="00B84D21" w:rsidRPr="00924CD1" w:rsidRDefault="00B84D21" w:rsidP="00872C4B">
      <w:pPr>
        <w:pStyle w:val="ListParagraph"/>
        <w:numPr>
          <w:ilvl w:val="0"/>
          <w:numId w:val="6"/>
        </w:numPr>
      </w:pPr>
      <w:r>
        <w:rPr>
          <w:szCs w:val="22"/>
        </w:rPr>
        <w:t>I agree to follow good clinical and laboratory practice in handling the sample(s).</w:t>
      </w:r>
    </w:p>
    <w:p w14:paraId="772CF01B" w14:textId="77777777" w:rsidR="00B84D21" w:rsidRDefault="00B84D21" w:rsidP="004D781F">
      <w:pPr>
        <w:pStyle w:val="ListParagraph"/>
      </w:pPr>
    </w:p>
    <w:p w14:paraId="120421F0" w14:textId="77777777" w:rsidR="00B84D21" w:rsidRDefault="00B84D21" w:rsidP="00872C4B">
      <w:pPr>
        <w:pStyle w:val="ListParagraph"/>
        <w:numPr>
          <w:ilvl w:val="0"/>
          <w:numId w:val="6"/>
        </w:numPr>
      </w:pPr>
      <w:r>
        <w:t>I agree to return the samples as soon as they are no longer required for the project and before the finish date stated above (1).</w:t>
      </w:r>
    </w:p>
    <w:p w14:paraId="4396BDD8" w14:textId="77777777" w:rsidR="00B84D21" w:rsidRDefault="00B84D21" w:rsidP="004D781F">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B84D21" w14:paraId="50019BB5" w14:textId="77777777" w:rsidTr="004D781F">
        <w:tc>
          <w:tcPr>
            <w:tcW w:w="2547" w:type="dxa"/>
          </w:tcPr>
          <w:p w14:paraId="08FDD027" w14:textId="77777777" w:rsidR="00B84D21" w:rsidRDefault="00B84D21" w:rsidP="004D781F">
            <w:r>
              <w:t>Principal Investigator:</w:t>
            </w:r>
          </w:p>
        </w:tc>
        <w:tc>
          <w:tcPr>
            <w:tcW w:w="6469" w:type="dxa"/>
          </w:tcPr>
          <w:p w14:paraId="0C2722FD" w14:textId="77777777" w:rsidR="00B84D21" w:rsidRDefault="00B84D21" w:rsidP="004D781F"/>
          <w:p w14:paraId="54760DF0" w14:textId="77777777" w:rsidR="00B84D21" w:rsidRDefault="00B84D21" w:rsidP="004D781F"/>
        </w:tc>
      </w:tr>
      <w:tr w:rsidR="00B84D21" w14:paraId="18C55A80" w14:textId="77777777" w:rsidTr="004D781F">
        <w:tc>
          <w:tcPr>
            <w:tcW w:w="2547" w:type="dxa"/>
          </w:tcPr>
          <w:p w14:paraId="68BF61B1" w14:textId="77777777" w:rsidR="00B84D21" w:rsidRDefault="00B84D21" w:rsidP="004D781F">
            <w:r>
              <w:t>Name:</w:t>
            </w:r>
          </w:p>
        </w:tc>
        <w:tc>
          <w:tcPr>
            <w:tcW w:w="6469" w:type="dxa"/>
          </w:tcPr>
          <w:p w14:paraId="1113B592" w14:textId="77777777" w:rsidR="00B84D21" w:rsidRDefault="00B84D21" w:rsidP="004D781F"/>
          <w:p w14:paraId="3C295597" w14:textId="77777777" w:rsidR="00B84D21" w:rsidRDefault="00B84D21" w:rsidP="004D781F"/>
        </w:tc>
      </w:tr>
      <w:tr w:rsidR="00B84D21" w14:paraId="568B531D" w14:textId="77777777" w:rsidTr="004D781F">
        <w:tc>
          <w:tcPr>
            <w:tcW w:w="2547" w:type="dxa"/>
          </w:tcPr>
          <w:p w14:paraId="662D8F67" w14:textId="77777777" w:rsidR="00B84D21" w:rsidRDefault="00B84D21" w:rsidP="004D781F">
            <w:r>
              <w:t>Position:</w:t>
            </w:r>
          </w:p>
        </w:tc>
        <w:tc>
          <w:tcPr>
            <w:tcW w:w="6469" w:type="dxa"/>
          </w:tcPr>
          <w:p w14:paraId="7CE35761" w14:textId="77777777" w:rsidR="00B84D21" w:rsidRDefault="00B84D21" w:rsidP="004D781F"/>
          <w:p w14:paraId="389C12D5" w14:textId="77777777" w:rsidR="00B84D21" w:rsidRDefault="00B84D21" w:rsidP="004D781F"/>
        </w:tc>
      </w:tr>
      <w:tr w:rsidR="00B84D21" w14:paraId="709B429A" w14:textId="77777777" w:rsidTr="004D781F">
        <w:tc>
          <w:tcPr>
            <w:tcW w:w="2547" w:type="dxa"/>
          </w:tcPr>
          <w:p w14:paraId="3A00624B" w14:textId="77777777" w:rsidR="00B84D21" w:rsidRDefault="00B84D21" w:rsidP="004D781F">
            <w:r>
              <w:t>Institution:</w:t>
            </w:r>
          </w:p>
        </w:tc>
        <w:tc>
          <w:tcPr>
            <w:tcW w:w="6469" w:type="dxa"/>
          </w:tcPr>
          <w:p w14:paraId="3BC79A28" w14:textId="77777777" w:rsidR="00B84D21" w:rsidRDefault="00B84D21" w:rsidP="004D781F"/>
          <w:p w14:paraId="7371D23C" w14:textId="77777777" w:rsidR="00B84D21" w:rsidRDefault="00B84D21" w:rsidP="004D781F"/>
        </w:tc>
      </w:tr>
      <w:tr w:rsidR="00B84D21" w14:paraId="1D683E3A" w14:textId="77777777" w:rsidTr="004D781F">
        <w:tc>
          <w:tcPr>
            <w:tcW w:w="2547" w:type="dxa"/>
          </w:tcPr>
          <w:p w14:paraId="0F570310" w14:textId="77777777" w:rsidR="00B84D21" w:rsidRDefault="00B84D21" w:rsidP="004D781F">
            <w:r>
              <w:t>Signature:</w:t>
            </w:r>
          </w:p>
        </w:tc>
        <w:tc>
          <w:tcPr>
            <w:tcW w:w="6469" w:type="dxa"/>
          </w:tcPr>
          <w:p w14:paraId="181D2CB2" w14:textId="77777777" w:rsidR="00B84D21" w:rsidRDefault="00B84D21" w:rsidP="004D781F"/>
          <w:p w14:paraId="32485EC3" w14:textId="77777777" w:rsidR="00B84D21" w:rsidRDefault="00B84D21" w:rsidP="004D781F"/>
        </w:tc>
      </w:tr>
      <w:tr w:rsidR="00B84D21" w14:paraId="3876D835" w14:textId="77777777" w:rsidTr="004D781F">
        <w:tc>
          <w:tcPr>
            <w:tcW w:w="2547" w:type="dxa"/>
          </w:tcPr>
          <w:p w14:paraId="4327F350" w14:textId="77777777" w:rsidR="00B84D21" w:rsidRDefault="00B84D21" w:rsidP="004D781F">
            <w:r>
              <w:t xml:space="preserve">Date: </w:t>
            </w:r>
          </w:p>
        </w:tc>
        <w:tc>
          <w:tcPr>
            <w:tcW w:w="6469" w:type="dxa"/>
          </w:tcPr>
          <w:p w14:paraId="6EAE1F66" w14:textId="77777777" w:rsidR="00B84D21" w:rsidRDefault="00B84D21" w:rsidP="004D781F"/>
          <w:p w14:paraId="28F77601" w14:textId="77777777" w:rsidR="00B84D21" w:rsidRDefault="00B84D21" w:rsidP="004D781F"/>
        </w:tc>
      </w:tr>
    </w:tbl>
    <w:p w14:paraId="42514CE9" w14:textId="77777777" w:rsidR="00B84D21" w:rsidRDefault="00B84D21" w:rsidP="004D781F"/>
    <w:p w14:paraId="5F96CE34" w14:textId="77777777" w:rsidR="00807F12" w:rsidRDefault="00807F12" w:rsidP="0018335D"/>
    <w:p w14:paraId="3BF30AFE" w14:textId="77777777" w:rsidR="00BC70AB" w:rsidRDefault="00BC70AB" w:rsidP="0018335D"/>
    <w:p w14:paraId="00B20F86" w14:textId="77777777" w:rsidR="00BC70AB" w:rsidRDefault="00BC70AB" w:rsidP="0018335D"/>
    <w:p w14:paraId="03F9D150" w14:textId="77777777" w:rsidR="00BC70AB" w:rsidRDefault="00BC70AB" w:rsidP="0018335D"/>
    <w:p w14:paraId="1C8B9336" w14:textId="77777777" w:rsidR="00BC70AB" w:rsidRDefault="00BC70AB" w:rsidP="0018335D"/>
    <w:p w14:paraId="2A257129" w14:textId="77777777" w:rsidR="00BC70AB" w:rsidRDefault="00BC70AB" w:rsidP="0018335D"/>
    <w:p w14:paraId="45E4E497" w14:textId="77777777" w:rsidR="00BC70AB" w:rsidRDefault="00BC70AB" w:rsidP="00BC70AB">
      <w:pPr>
        <w:pStyle w:val="Heading1"/>
      </w:pPr>
      <w:r w:rsidRPr="1003B4E9">
        <w:t>Vers</w:t>
      </w:r>
      <w:r>
        <w:t>i</w:t>
      </w:r>
      <w:r w:rsidRPr="1003B4E9">
        <w:t xml:space="preserve">on Control </w:t>
      </w:r>
    </w:p>
    <w:p w14:paraId="79225DC0" w14:textId="77777777" w:rsidR="00BC70AB" w:rsidRDefault="00BC70AB" w:rsidP="00BC70AB">
      <w:pPr>
        <w:pStyle w:val="Default"/>
        <w:rPr>
          <w:b/>
          <w:bCs/>
          <w:color w:val="auto"/>
          <w:sz w:val="22"/>
          <w:szCs w:val="22"/>
        </w:rPr>
      </w:pPr>
    </w:p>
    <w:tbl>
      <w:tblPr>
        <w:tblStyle w:val="TableGrid"/>
        <w:tblW w:w="5000" w:type="pct"/>
        <w:tblLook w:val="06A0" w:firstRow="1" w:lastRow="0" w:firstColumn="1" w:lastColumn="0" w:noHBand="1" w:noVBand="1"/>
      </w:tblPr>
      <w:tblGrid>
        <w:gridCol w:w="1211"/>
        <w:gridCol w:w="5731"/>
        <w:gridCol w:w="2074"/>
      </w:tblGrid>
      <w:tr w:rsidR="00BC70AB" w14:paraId="54CFAF13" w14:textId="77777777" w:rsidTr="00BC70AB">
        <w:tc>
          <w:tcPr>
            <w:tcW w:w="672" w:type="pct"/>
            <w:shd w:val="clear" w:color="auto" w:fill="EEECE1" w:themeFill="background2"/>
            <w:vAlign w:val="center"/>
          </w:tcPr>
          <w:p w14:paraId="36739A58" w14:textId="77777777" w:rsidR="00BC70AB" w:rsidRDefault="00BC70AB" w:rsidP="00BC70AB">
            <w:pPr>
              <w:spacing w:line="276" w:lineRule="auto"/>
              <w:ind w:left="57" w:right="57"/>
              <w:jc w:val="center"/>
              <w:rPr>
                <w:rFonts w:eastAsia="Arial"/>
                <w:color w:val="000000" w:themeColor="text1"/>
              </w:rPr>
            </w:pPr>
            <w:r w:rsidRPr="1003B4E9">
              <w:rPr>
                <w:rFonts w:eastAsia="Arial"/>
                <w:b/>
                <w:bCs/>
                <w:color w:val="000000" w:themeColor="text1"/>
              </w:rPr>
              <w:t>Version</w:t>
            </w:r>
          </w:p>
        </w:tc>
        <w:tc>
          <w:tcPr>
            <w:tcW w:w="3178" w:type="pct"/>
            <w:shd w:val="clear" w:color="auto" w:fill="EEECE1" w:themeFill="background2"/>
            <w:vAlign w:val="center"/>
          </w:tcPr>
          <w:p w14:paraId="0BF4E4BC" w14:textId="77777777" w:rsidR="00BC70AB" w:rsidRDefault="00BC70AB" w:rsidP="00BC70AB">
            <w:pPr>
              <w:spacing w:line="276" w:lineRule="auto"/>
              <w:ind w:left="57" w:right="57"/>
              <w:jc w:val="center"/>
              <w:rPr>
                <w:rFonts w:eastAsia="Arial"/>
                <w:color w:val="000000" w:themeColor="text1"/>
              </w:rPr>
            </w:pPr>
            <w:r w:rsidRPr="1003B4E9">
              <w:rPr>
                <w:rFonts w:eastAsia="Arial"/>
                <w:b/>
                <w:bCs/>
                <w:color w:val="000000" w:themeColor="text1"/>
              </w:rPr>
              <w:t>Reason for change</w:t>
            </w:r>
          </w:p>
        </w:tc>
        <w:tc>
          <w:tcPr>
            <w:tcW w:w="1151" w:type="pct"/>
            <w:shd w:val="clear" w:color="auto" w:fill="EEECE1" w:themeFill="background2"/>
            <w:vAlign w:val="center"/>
          </w:tcPr>
          <w:p w14:paraId="4CF7ADB4" w14:textId="77777777" w:rsidR="00BC70AB" w:rsidRDefault="00BC70AB" w:rsidP="00BC70AB">
            <w:pPr>
              <w:spacing w:line="276" w:lineRule="auto"/>
              <w:ind w:left="57" w:right="57"/>
              <w:jc w:val="center"/>
              <w:rPr>
                <w:rFonts w:eastAsia="Arial"/>
                <w:color w:val="000000" w:themeColor="text1"/>
              </w:rPr>
            </w:pPr>
            <w:r w:rsidRPr="1003B4E9">
              <w:rPr>
                <w:rFonts w:eastAsia="Arial"/>
                <w:b/>
                <w:bCs/>
                <w:color w:val="000000" w:themeColor="text1"/>
              </w:rPr>
              <w:t>Date</w:t>
            </w:r>
          </w:p>
        </w:tc>
      </w:tr>
      <w:tr w:rsidR="00BC70AB" w14:paraId="14EB9FE4" w14:textId="77777777" w:rsidTr="00BC70AB">
        <w:tc>
          <w:tcPr>
            <w:tcW w:w="672" w:type="pct"/>
            <w:vAlign w:val="center"/>
          </w:tcPr>
          <w:p w14:paraId="3E7C6031" w14:textId="77777777" w:rsidR="00BC70AB" w:rsidRDefault="00BC70AB" w:rsidP="00BC70AB">
            <w:pPr>
              <w:spacing w:line="276" w:lineRule="auto"/>
              <w:ind w:left="57" w:right="57"/>
              <w:jc w:val="center"/>
              <w:rPr>
                <w:rFonts w:eastAsia="Arial"/>
                <w:color w:val="000000" w:themeColor="text1"/>
              </w:rPr>
            </w:pPr>
            <w:r w:rsidRPr="1003B4E9">
              <w:rPr>
                <w:rFonts w:eastAsia="Arial"/>
                <w:color w:val="000000" w:themeColor="text1"/>
              </w:rPr>
              <w:t>1.0</w:t>
            </w:r>
          </w:p>
        </w:tc>
        <w:tc>
          <w:tcPr>
            <w:tcW w:w="3178" w:type="pct"/>
            <w:vAlign w:val="center"/>
          </w:tcPr>
          <w:p w14:paraId="44830E0B" w14:textId="77777777" w:rsidR="00BC70AB" w:rsidRDefault="00BC70AB" w:rsidP="00BC70AB">
            <w:pPr>
              <w:spacing w:line="276" w:lineRule="auto"/>
              <w:ind w:left="57" w:right="57"/>
              <w:jc w:val="center"/>
              <w:rPr>
                <w:rFonts w:eastAsia="Arial"/>
                <w:color w:val="000000" w:themeColor="text1"/>
              </w:rPr>
            </w:pPr>
            <w:r w:rsidRPr="1003B4E9">
              <w:rPr>
                <w:rFonts w:eastAsia="Arial"/>
                <w:color w:val="000000" w:themeColor="text1"/>
              </w:rPr>
              <w:t>N/A</w:t>
            </w:r>
          </w:p>
        </w:tc>
        <w:tc>
          <w:tcPr>
            <w:tcW w:w="1151" w:type="pct"/>
            <w:vAlign w:val="center"/>
          </w:tcPr>
          <w:p w14:paraId="72BE9874" w14:textId="77777777" w:rsidR="00BC70AB" w:rsidRDefault="00BC70AB" w:rsidP="00BC70AB">
            <w:pPr>
              <w:spacing w:line="276" w:lineRule="auto"/>
              <w:ind w:left="57" w:right="57"/>
              <w:jc w:val="center"/>
              <w:rPr>
                <w:rFonts w:eastAsia="Arial"/>
                <w:color w:val="000000" w:themeColor="text1"/>
              </w:rPr>
            </w:pPr>
            <w:r w:rsidRPr="1003B4E9">
              <w:rPr>
                <w:rFonts w:eastAsia="Arial"/>
                <w:color w:val="000000" w:themeColor="text1"/>
              </w:rPr>
              <w:t>10</w:t>
            </w:r>
            <w:r w:rsidRPr="1003B4E9">
              <w:rPr>
                <w:rFonts w:eastAsia="Arial"/>
                <w:color w:val="000000" w:themeColor="text1"/>
                <w:vertAlign w:val="superscript"/>
              </w:rPr>
              <w:t>th</w:t>
            </w:r>
            <w:r w:rsidRPr="1003B4E9">
              <w:rPr>
                <w:rFonts w:eastAsia="Arial"/>
                <w:color w:val="000000" w:themeColor="text1"/>
              </w:rPr>
              <w:t xml:space="preserve"> June</w:t>
            </w:r>
            <w:r>
              <w:rPr>
                <w:rFonts w:eastAsia="Arial"/>
                <w:color w:val="000000" w:themeColor="text1"/>
              </w:rPr>
              <w:t>,</w:t>
            </w:r>
            <w:r w:rsidRPr="1003B4E9">
              <w:rPr>
                <w:rFonts w:eastAsia="Arial"/>
                <w:color w:val="000000" w:themeColor="text1"/>
              </w:rPr>
              <w:t xml:space="preserve"> 2021</w:t>
            </w:r>
          </w:p>
        </w:tc>
      </w:tr>
      <w:tr w:rsidR="00BC70AB" w14:paraId="24914A20" w14:textId="77777777" w:rsidTr="00BC70AB">
        <w:trPr>
          <w:trHeight w:val="1398"/>
        </w:trPr>
        <w:tc>
          <w:tcPr>
            <w:tcW w:w="672" w:type="pct"/>
            <w:vAlign w:val="center"/>
          </w:tcPr>
          <w:p w14:paraId="2E61AA26" w14:textId="77777777" w:rsidR="00BC70AB" w:rsidRDefault="00BC70AB" w:rsidP="00BC70AB">
            <w:pPr>
              <w:spacing w:line="276" w:lineRule="auto"/>
              <w:ind w:left="57" w:right="57"/>
              <w:jc w:val="center"/>
              <w:rPr>
                <w:rFonts w:eastAsia="Arial"/>
                <w:color w:val="000000" w:themeColor="text1"/>
              </w:rPr>
            </w:pPr>
            <w:r>
              <w:rPr>
                <w:rFonts w:eastAsia="Arial"/>
                <w:color w:val="000000" w:themeColor="text1"/>
              </w:rPr>
              <w:t>1.1</w:t>
            </w:r>
          </w:p>
        </w:tc>
        <w:tc>
          <w:tcPr>
            <w:tcW w:w="3178" w:type="pct"/>
            <w:vAlign w:val="center"/>
          </w:tcPr>
          <w:p w14:paraId="73C92FBF" w14:textId="77777777" w:rsidR="00BC70AB" w:rsidRDefault="00BC70AB" w:rsidP="00BC70AB">
            <w:pPr>
              <w:spacing w:line="276" w:lineRule="auto"/>
              <w:ind w:left="57" w:right="57"/>
              <w:jc w:val="center"/>
              <w:rPr>
                <w:rFonts w:eastAsia="Arial"/>
                <w:color w:val="000000" w:themeColor="text1"/>
              </w:rPr>
            </w:pPr>
            <w:r>
              <w:rPr>
                <w:rFonts w:eastAsia="Arial"/>
                <w:color w:val="000000" w:themeColor="text1"/>
              </w:rPr>
              <w:t>A new SOP was added to the suite therefore writing changed to state ‘</w:t>
            </w:r>
            <w:r>
              <w:t>SOPs (MMU-HTA001 – MMU-HTA016)’ rather than SOPs (MMU-HTA001 – MMU-HTA015)</w:t>
            </w:r>
          </w:p>
        </w:tc>
        <w:tc>
          <w:tcPr>
            <w:tcW w:w="1151" w:type="pct"/>
            <w:vAlign w:val="center"/>
          </w:tcPr>
          <w:p w14:paraId="08399838" w14:textId="77777777" w:rsidR="00BC70AB" w:rsidRDefault="00BC70AB" w:rsidP="00BC70AB">
            <w:pPr>
              <w:spacing w:line="276" w:lineRule="auto"/>
              <w:ind w:left="57" w:right="57"/>
              <w:jc w:val="center"/>
              <w:rPr>
                <w:rFonts w:eastAsia="Arial"/>
                <w:color w:val="000000" w:themeColor="text1"/>
              </w:rPr>
            </w:pPr>
            <w:r>
              <w:rPr>
                <w:rFonts w:eastAsia="Arial"/>
                <w:color w:val="000000" w:themeColor="text1"/>
              </w:rPr>
              <w:t>25</w:t>
            </w:r>
            <w:r w:rsidRPr="008F1526">
              <w:rPr>
                <w:rFonts w:eastAsia="Arial"/>
                <w:color w:val="000000" w:themeColor="text1"/>
                <w:vertAlign w:val="superscript"/>
              </w:rPr>
              <w:t>th</w:t>
            </w:r>
            <w:r>
              <w:rPr>
                <w:rFonts w:eastAsia="Arial"/>
                <w:color w:val="000000" w:themeColor="text1"/>
              </w:rPr>
              <w:t xml:space="preserve"> November, 2022</w:t>
            </w:r>
          </w:p>
        </w:tc>
      </w:tr>
      <w:tr w:rsidR="00BC70AB" w14:paraId="0D96E6F9" w14:textId="77777777" w:rsidTr="00BC70AB">
        <w:trPr>
          <w:trHeight w:val="961"/>
        </w:trPr>
        <w:tc>
          <w:tcPr>
            <w:tcW w:w="672" w:type="pct"/>
            <w:vAlign w:val="center"/>
          </w:tcPr>
          <w:p w14:paraId="74D586C9" w14:textId="77777777" w:rsidR="00BC70AB" w:rsidRDefault="00BC70AB" w:rsidP="00BC70AB">
            <w:pPr>
              <w:spacing w:line="276" w:lineRule="auto"/>
              <w:ind w:left="57" w:right="57"/>
              <w:jc w:val="center"/>
              <w:rPr>
                <w:rFonts w:eastAsia="Arial"/>
                <w:color w:val="000000" w:themeColor="text1"/>
              </w:rPr>
            </w:pPr>
            <w:r>
              <w:rPr>
                <w:rFonts w:eastAsia="Arial"/>
                <w:color w:val="000000" w:themeColor="text1"/>
              </w:rPr>
              <w:t>1.2</w:t>
            </w:r>
          </w:p>
        </w:tc>
        <w:tc>
          <w:tcPr>
            <w:tcW w:w="3178" w:type="pct"/>
            <w:vAlign w:val="center"/>
          </w:tcPr>
          <w:p w14:paraId="3EA0D311" w14:textId="77777777" w:rsidR="00BC70AB" w:rsidRPr="006E7914" w:rsidRDefault="00BC70AB" w:rsidP="00BC70AB">
            <w:pPr>
              <w:pStyle w:val="Default"/>
              <w:ind w:left="57" w:right="57"/>
              <w:jc w:val="center"/>
              <w:rPr>
                <w:sz w:val="23"/>
                <w:szCs w:val="23"/>
              </w:rPr>
            </w:pPr>
            <w:r>
              <w:rPr>
                <w:sz w:val="23"/>
                <w:szCs w:val="23"/>
              </w:rPr>
              <w:t>Changed writing to state ‘SOPs (MMU-HTA001 – MMU-HTA018)’ rather than SOPs (MMU-HTA001 – MMU-HTA016)</w:t>
            </w:r>
          </w:p>
        </w:tc>
        <w:tc>
          <w:tcPr>
            <w:tcW w:w="1151" w:type="pct"/>
            <w:vAlign w:val="center"/>
          </w:tcPr>
          <w:p w14:paraId="3ACE0B5E" w14:textId="77777777" w:rsidR="00BC70AB" w:rsidRDefault="00BC70AB" w:rsidP="00BC70AB">
            <w:pPr>
              <w:spacing w:line="276" w:lineRule="auto"/>
              <w:ind w:left="57" w:right="57"/>
              <w:jc w:val="center"/>
              <w:rPr>
                <w:rFonts w:eastAsia="Arial"/>
                <w:color w:val="000000" w:themeColor="text1"/>
              </w:rPr>
            </w:pPr>
            <w:r>
              <w:rPr>
                <w:rFonts w:eastAsia="Arial"/>
                <w:color w:val="000000" w:themeColor="text1"/>
              </w:rPr>
              <w:t>30</w:t>
            </w:r>
            <w:r w:rsidRPr="000164EF">
              <w:rPr>
                <w:rFonts w:eastAsia="Arial"/>
                <w:color w:val="000000" w:themeColor="text1"/>
                <w:vertAlign w:val="superscript"/>
              </w:rPr>
              <w:t>th</w:t>
            </w:r>
            <w:r>
              <w:rPr>
                <w:rFonts w:eastAsia="Arial"/>
                <w:color w:val="000000" w:themeColor="text1"/>
              </w:rPr>
              <w:t xml:space="preserve"> January, 2023</w:t>
            </w:r>
          </w:p>
        </w:tc>
      </w:tr>
      <w:tr w:rsidR="00BC70AB" w14:paraId="43A0F182" w14:textId="77777777" w:rsidTr="00BC70AB">
        <w:trPr>
          <w:trHeight w:val="1714"/>
        </w:trPr>
        <w:tc>
          <w:tcPr>
            <w:tcW w:w="672" w:type="pct"/>
            <w:vAlign w:val="center"/>
          </w:tcPr>
          <w:p w14:paraId="71279F6B" w14:textId="77777777" w:rsidR="00BC70AB" w:rsidRDefault="00BC70AB" w:rsidP="00BC70AB">
            <w:pPr>
              <w:spacing w:line="276" w:lineRule="auto"/>
              <w:ind w:left="57" w:right="57"/>
              <w:jc w:val="center"/>
              <w:rPr>
                <w:rFonts w:eastAsia="Arial"/>
                <w:color w:val="000000" w:themeColor="text1"/>
              </w:rPr>
            </w:pPr>
            <w:r>
              <w:rPr>
                <w:rFonts w:eastAsia="Arial"/>
                <w:color w:val="000000" w:themeColor="text1"/>
              </w:rPr>
              <w:t>1.3</w:t>
            </w:r>
          </w:p>
        </w:tc>
        <w:tc>
          <w:tcPr>
            <w:tcW w:w="3178" w:type="pct"/>
            <w:vAlign w:val="center"/>
          </w:tcPr>
          <w:p w14:paraId="181BB838" w14:textId="77777777" w:rsidR="00BC70AB" w:rsidRDefault="00BC70AB" w:rsidP="00BC70AB">
            <w:pPr>
              <w:spacing w:line="276" w:lineRule="auto"/>
              <w:ind w:left="57" w:right="57"/>
              <w:jc w:val="center"/>
              <w:rPr>
                <w:rFonts w:eastAsia="Arial"/>
                <w:color w:val="000000" w:themeColor="text1"/>
              </w:rPr>
            </w:pPr>
            <w:r>
              <w:rPr>
                <w:rFonts w:eastAsia="Arial"/>
                <w:color w:val="000000" w:themeColor="text1"/>
              </w:rPr>
              <w:t>Author &amp; Reviewer fields added to title table + changed writing to state ‘SOPS (MMUHTA_001 – MMUHTA_019)’ rather than SOPs (MMU-HTA001 – MMU-HTA018) + Minor grammatical &amp; formatting changes</w:t>
            </w:r>
          </w:p>
        </w:tc>
        <w:tc>
          <w:tcPr>
            <w:tcW w:w="1151" w:type="pct"/>
            <w:vAlign w:val="center"/>
          </w:tcPr>
          <w:p w14:paraId="7A7708FE" w14:textId="77777777" w:rsidR="00BC70AB" w:rsidRDefault="00BC70AB" w:rsidP="00BC70AB">
            <w:pPr>
              <w:spacing w:line="276" w:lineRule="auto"/>
              <w:ind w:left="57" w:right="57"/>
              <w:jc w:val="center"/>
              <w:rPr>
                <w:rFonts w:eastAsia="Arial"/>
                <w:color w:val="000000" w:themeColor="text1"/>
              </w:rPr>
            </w:pPr>
            <w:r>
              <w:rPr>
                <w:rFonts w:eastAsia="Arial"/>
                <w:color w:val="000000" w:themeColor="text1"/>
              </w:rPr>
              <w:t>2</w:t>
            </w:r>
            <w:r w:rsidRPr="00BC70AB">
              <w:rPr>
                <w:rFonts w:eastAsia="Arial"/>
                <w:color w:val="000000" w:themeColor="text1"/>
                <w:vertAlign w:val="superscript"/>
              </w:rPr>
              <w:t>nd</w:t>
            </w:r>
            <w:r>
              <w:rPr>
                <w:rFonts w:eastAsia="Arial"/>
                <w:color w:val="000000" w:themeColor="text1"/>
              </w:rPr>
              <w:t xml:space="preserve"> March, 2023</w:t>
            </w:r>
          </w:p>
        </w:tc>
      </w:tr>
      <w:tr w:rsidR="00BC70AB" w14:paraId="7522A376" w14:textId="77777777" w:rsidTr="00BC70AB">
        <w:tc>
          <w:tcPr>
            <w:tcW w:w="672" w:type="pct"/>
            <w:vAlign w:val="center"/>
          </w:tcPr>
          <w:p w14:paraId="105DDE2C" w14:textId="77777777" w:rsidR="00BC70AB" w:rsidRDefault="00BC70AB" w:rsidP="00BC70AB">
            <w:pPr>
              <w:spacing w:line="276" w:lineRule="auto"/>
              <w:ind w:left="57" w:right="57"/>
              <w:jc w:val="center"/>
              <w:rPr>
                <w:rFonts w:eastAsia="Arial"/>
                <w:color w:val="000000" w:themeColor="text1"/>
              </w:rPr>
            </w:pPr>
          </w:p>
        </w:tc>
        <w:tc>
          <w:tcPr>
            <w:tcW w:w="3178" w:type="pct"/>
            <w:vAlign w:val="center"/>
          </w:tcPr>
          <w:p w14:paraId="7C20FE92" w14:textId="77777777" w:rsidR="00BC70AB" w:rsidRDefault="00BC70AB" w:rsidP="00BC70AB">
            <w:pPr>
              <w:spacing w:line="276" w:lineRule="auto"/>
              <w:ind w:left="57" w:right="57"/>
              <w:jc w:val="center"/>
              <w:rPr>
                <w:rFonts w:eastAsia="Arial"/>
                <w:color w:val="000000" w:themeColor="text1"/>
              </w:rPr>
            </w:pPr>
          </w:p>
        </w:tc>
        <w:tc>
          <w:tcPr>
            <w:tcW w:w="1151" w:type="pct"/>
            <w:vAlign w:val="center"/>
          </w:tcPr>
          <w:p w14:paraId="18D316E9" w14:textId="77777777" w:rsidR="00BC70AB" w:rsidRDefault="00BC70AB" w:rsidP="00BC70AB">
            <w:pPr>
              <w:spacing w:line="276" w:lineRule="auto"/>
              <w:ind w:left="57" w:right="57"/>
              <w:jc w:val="center"/>
              <w:rPr>
                <w:rFonts w:eastAsia="Arial"/>
                <w:color w:val="000000" w:themeColor="text1"/>
              </w:rPr>
            </w:pPr>
          </w:p>
        </w:tc>
      </w:tr>
    </w:tbl>
    <w:p w14:paraId="4CE5D642" w14:textId="77777777" w:rsidR="00BC70AB" w:rsidRDefault="00BC70AB" w:rsidP="00BC70AB">
      <w:pPr>
        <w:pStyle w:val="Default"/>
        <w:rPr>
          <w:b/>
          <w:bCs/>
          <w:color w:val="auto"/>
          <w:sz w:val="22"/>
          <w:szCs w:val="22"/>
        </w:rPr>
      </w:pPr>
    </w:p>
    <w:p w14:paraId="28598D80" w14:textId="6C44DE88" w:rsidR="00BC70AB" w:rsidRDefault="00BC70AB" w:rsidP="00BC70AB">
      <w:pPr>
        <w:spacing w:after="200" w:line="276" w:lineRule="auto"/>
        <w:rPr>
          <w:szCs w:val="22"/>
        </w:rPr>
      </w:pPr>
    </w:p>
    <w:sectPr w:rsidR="00BC70AB" w:rsidSect="000C3E27">
      <w:headerReference w:type="default" r:id="rId21"/>
      <w:footerReference w:type="default" r:id="rId2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3290" w14:textId="77777777" w:rsidR="006E1BE4" w:rsidRDefault="006E1BE4" w:rsidP="00546496">
      <w:r>
        <w:separator/>
      </w:r>
    </w:p>
  </w:endnote>
  <w:endnote w:type="continuationSeparator" w:id="0">
    <w:p w14:paraId="7A998BCB" w14:textId="77777777" w:rsidR="006E1BE4" w:rsidRDefault="006E1BE4" w:rsidP="00546496">
      <w:r>
        <w:continuationSeparator/>
      </w:r>
    </w:p>
  </w:endnote>
  <w:endnote w:type="continuationNotice" w:id="1">
    <w:p w14:paraId="211D8063" w14:textId="77777777" w:rsidR="00F3656A" w:rsidRDefault="00F36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62F8" w14:textId="700A2FDE" w:rsidR="003261F4" w:rsidRDefault="009F170A">
    <w:pPr>
      <w:pStyle w:val="Footer"/>
      <w:pBdr>
        <w:top w:val="single" w:sz="4" w:space="1" w:color="D9D9D9" w:themeColor="background1" w:themeShade="D9"/>
      </w:pBdr>
      <w:rPr>
        <w:b/>
        <w:bCs/>
      </w:rPr>
    </w:pPr>
    <w:r>
      <w:rPr>
        <w:noProof/>
        <w:lang w:eastAsia="en-GB"/>
      </w:rPr>
      <mc:AlternateContent>
        <mc:Choice Requires="wps">
          <w:drawing>
            <wp:anchor distT="45720" distB="45720" distL="114300" distR="114300" simplePos="0" relativeHeight="251658240" behindDoc="1" locked="0" layoutInCell="1" allowOverlap="1" wp14:anchorId="51DB4917" wp14:editId="3EBCA84E">
              <wp:simplePos x="0" y="0"/>
              <wp:positionH relativeFrom="column">
                <wp:posOffset>3233058</wp:posOffset>
              </wp:positionH>
              <wp:positionV relativeFrom="paragraph">
                <wp:posOffset>84999</wp:posOffset>
              </wp:positionV>
              <wp:extent cx="3369764" cy="53213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764" cy="532130"/>
                      </a:xfrm>
                      <a:prstGeom prst="rect">
                        <a:avLst/>
                      </a:prstGeom>
                      <a:noFill/>
                      <a:ln w="9525">
                        <a:noFill/>
                        <a:miter lim="800000"/>
                        <a:headEnd/>
                        <a:tailEnd/>
                      </a:ln>
                    </wps:spPr>
                    <wps:txbx>
                      <w:txbxContent>
                        <w:p w14:paraId="078CF186" w14:textId="77777777" w:rsidR="009F170A" w:rsidRPr="00DC2D1E" w:rsidRDefault="009F170A" w:rsidP="009F170A">
                          <w:pPr>
                            <w:ind w:left="851"/>
                            <w:rPr>
                              <w:sz w:val="18"/>
                              <w:szCs w:val="18"/>
                            </w:rPr>
                          </w:pPr>
                          <w:r w:rsidRPr="00DC2D1E">
                            <w:rPr>
                              <w:sz w:val="18"/>
                              <w:szCs w:val="18"/>
                            </w:rPr>
                            <w:t xml:space="preserve">Current only on day of printing </w:t>
                          </w:r>
                        </w:p>
                        <w:p w14:paraId="451A474B" w14:textId="77777777" w:rsidR="009F170A" w:rsidRDefault="009F170A" w:rsidP="000C3E27">
                          <w:pPr>
                            <w:ind w:left="851"/>
                            <w:rPr>
                              <w:sz w:val="18"/>
                              <w:szCs w:val="18"/>
                            </w:rPr>
                          </w:pPr>
                          <w:r w:rsidRPr="00DC2D1E">
                            <w:rPr>
                              <w:sz w:val="18"/>
                              <w:szCs w:val="18"/>
                            </w:rPr>
                            <w:t xml:space="preserve">Check the University website for most recent version </w:t>
                          </w:r>
                        </w:p>
                        <w:p w14:paraId="1C2DE922" w14:textId="5B5C1984" w:rsidR="009F170A" w:rsidRPr="00DC2D1E" w:rsidRDefault="009F170A" w:rsidP="009F170A">
                          <w:pPr>
                            <w:ind w:left="851"/>
                            <w:rPr>
                              <w:sz w:val="18"/>
                              <w:szCs w:val="18"/>
                            </w:rPr>
                          </w:pPr>
                          <w:r>
                            <w:rPr>
                              <w:sz w:val="18"/>
                              <w:szCs w:val="18"/>
                            </w:rPr>
                            <w:t>V1.</w:t>
                          </w:r>
                          <w:r w:rsidR="0063198A">
                            <w:rPr>
                              <w:sz w:val="18"/>
                              <w:szCs w:val="18"/>
                            </w:rPr>
                            <w:t>3</w:t>
                          </w:r>
                          <w:r w:rsidR="000164EF">
                            <w:rPr>
                              <w:sz w:val="18"/>
                              <w:szCs w:val="18"/>
                            </w:rPr>
                            <w:t xml:space="preserve"> </w:t>
                          </w:r>
                          <w:r w:rsidR="0063198A">
                            <w:rPr>
                              <w:sz w:val="18"/>
                              <w:szCs w:val="18"/>
                            </w:rPr>
                            <w:t>2</w:t>
                          </w:r>
                          <w:r w:rsidR="0063198A" w:rsidRPr="0063198A">
                            <w:rPr>
                              <w:sz w:val="18"/>
                              <w:szCs w:val="18"/>
                              <w:vertAlign w:val="superscript"/>
                            </w:rPr>
                            <w:t>nd</w:t>
                          </w:r>
                          <w:r w:rsidR="0063198A">
                            <w:rPr>
                              <w:sz w:val="18"/>
                              <w:szCs w:val="18"/>
                            </w:rPr>
                            <w:t xml:space="preserve"> </w:t>
                          </w:r>
                          <w:r w:rsidR="00BC70AB">
                            <w:rPr>
                              <w:sz w:val="18"/>
                              <w:szCs w:val="18"/>
                            </w:rPr>
                            <w:t>March</w:t>
                          </w:r>
                          <w:r w:rsidR="0063198A">
                            <w:rPr>
                              <w:sz w:val="18"/>
                              <w:szCs w:val="18"/>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B4917" id="_x0000_t202" coordsize="21600,21600" o:spt="202" path="m,l,21600r21600,l21600,xe">
              <v:stroke joinstyle="miter"/>
              <v:path gradientshapeok="t" o:connecttype="rect"/>
            </v:shapetype>
            <v:shape id="Text Box 2" o:spid="_x0000_s1026" type="#_x0000_t202" style="position:absolute;left:0;text-align:left;margin-left:254.55pt;margin-top:6.7pt;width:265.35pt;height:4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" filled="f" stroked="f">
              <v:textbox>
                <w:txbxContent>
                  <w:p w14:paraId="078CF186" w14:textId="77777777" w:rsidR="009F170A" w:rsidRPr="00DC2D1E" w:rsidRDefault="009F170A" w:rsidP="009F170A">
                    <w:pPr>
                      <w:ind w:left="851"/>
                      <w:rPr>
                        <w:sz w:val="18"/>
                        <w:szCs w:val="18"/>
                      </w:rPr>
                    </w:pPr>
                    <w:r w:rsidRPr="00DC2D1E">
                      <w:rPr>
                        <w:sz w:val="18"/>
                        <w:szCs w:val="18"/>
                      </w:rPr>
                      <w:t xml:space="preserve">Current only on day of printing </w:t>
                    </w:r>
                  </w:p>
                  <w:p w14:paraId="451A474B" w14:textId="77777777" w:rsidR="009F170A" w:rsidRDefault="009F170A" w:rsidP="000C3E27">
                    <w:pPr>
                      <w:ind w:left="851"/>
                      <w:rPr>
                        <w:sz w:val="18"/>
                        <w:szCs w:val="18"/>
                      </w:rPr>
                    </w:pPr>
                    <w:r w:rsidRPr="00DC2D1E">
                      <w:rPr>
                        <w:sz w:val="18"/>
                        <w:szCs w:val="18"/>
                      </w:rPr>
                      <w:t xml:space="preserve">Check the University website for most recent version </w:t>
                    </w:r>
                  </w:p>
                  <w:p w14:paraId="1C2DE922" w14:textId="5B5C1984" w:rsidR="009F170A" w:rsidRPr="00DC2D1E" w:rsidRDefault="009F170A" w:rsidP="009F170A">
                    <w:pPr>
                      <w:ind w:left="851"/>
                      <w:rPr>
                        <w:sz w:val="18"/>
                        <w:szCs w:val="18"/>
                      </w:rPr>
                    </w:pPr>
                    <w:r>
                      <w:rPr>
                        <w:sz w:val="18"/>
                        <w:szCs w:val="18"/>
                      </w:rPr>
                      <w:t>V1.</w:t>
                    </w:r>
                    <w:r w:rsidR="0063198A">
                      <w:rPr>
                        <w:sz w:val="18"/>
                        <w:szCs w:val="18"/>
                      </w:rPr>
                      <w:t>3</w:t>
                    </w:r>
                    <w:r w:rsidR="000164EF">
                      <w:rPr>
                        <w:sz w:val="18"/>
                        <w:szCs w:val="18"/>
                      </w:rPr>
                      <w:t xml:space="preserve"> </w:t>
                    </w:r>
                    <w:r w:rsidR="0063198A">
                      <w:rPr>
                        <w:sz w:val="18"/>
                        <w:szCs w:val="18"/>
                      </w:rPr>
                      <w:t>2</w:t>
                    </w:r>
                    <w:r w:rsidR="0063198A" w:rsidRPr="0063198A">
                      <w:rPr>
                        <w:sz w:val="18"/>
                        <w:szCs w:val="18"/>
                        <w:vertAlign w:val="superscript"/>
                      </w:rPr>
                      <w:t>nd</w:t>
                    </w:r>
                    <w:r w:rsidR="0063198A">
                      <w:rPr>
                        <w:sz w:val="18"/>
                        <w:szCs w:val="18"/>
                      </w:rPr>
                      <w:t xml:space="preserve"> </w:t>
                    </w:r>
                    <w:r w:rsidR="00BC70AB">
                      <w:rPr>
                        <w:sz w:val="18"/>
                        <w:szCs w:val="18"/>
                      </w:rPr>
                      <w:t>March</w:t>
                    </w:r>
                    <w:r w:rsidR="0063198A">
                      <w:rPr>
                        <w:sz w:val="18"/>
                        <w:szCs w:val="18"/>
                      </w:rPr>
                      <w:t xml:space="preserve"> 2023</w:t>
                    </w:r>
                  </w:p>
                </w:txbxContent>
              </v:textbox>
            </v:shape>
          </w:pict>
        </mc:Fallback>
      </mc:AlternateContent>
    </w:r>
    <w:sdt>
      <w:sdtPr>
        <w:id w:val="-1777464838"/>
        <w:docPartObj>
          <w:docPartGallery w:val="Page Numbers (Bottom of Page)"/>
          <w:docPartUnique/>
        </w:docPartObj>
      </w:sdtPr>
      <w:sdtEndPr>
        <w:rPr>
          <w:color w:val="7F7F7F" w:themeColor="background1" w:themeShade="7F"/>
          <w:spacing w:val="60"/>
        </w:rPr>
      </w:sdtEndPr>
      <w:sdtContent>
        <w:r w:rsidR="003261F4">
          <w:fldChar w:fldCharType="begin"/>
        </w:r>
        <w:r w:rsidR="003261F4">
          <w:instrText xml:space="preserve"> PAGE   \* MERGEFORMAT </w:instrText>
        </w:r>
        <w:r w:rsidR="003261F4">
          <w:fldChar w:fldCharType="separate"/>
        </w:r>
        <w:r w:rsidR="00440709" w:rsidRPr="00440709">
          <w:rPr>
            <w:b/>
            <w:bCs/>
            <w:noProof/>
          </w:rPr>
          <w:t>1</w:t>
        </w:r>
        <w:r w:rsidR="003261F4">
          <w:rPr>
            <w:b/>
            <w:bCs/>
            <w:noProof/>
          </w:rPr>
          <w:fldChar w:fldCharType="end"/>
        </w:r>
        <w:r w:rsidR="003261F4">
          <w:rPr>
            <w:b/>
            <w:bCs/>
          </w:rPr>
          <w:t xml:space="preserve"> | </w:t>
        </w:r>
        <w:r w:rsidR="003261F4">
          <w:rPr>
            <w:color w:val="7F7F7F" w:themeColor="background1" w:themeShade="7F"/>
            <w:spacing w:val="60"/>
          </w:rPr>
          <w:t>Page</w:t>
        </w:r>
      </w:sdtContent>
    </w:sdt>
  </w:p>
  <w:p w14:paraId="4BD24114" w14:textId="77777777" w:rsidR="003261F4" w:rsidRDefault="0032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3D6D" w14:textId="77777777" w:rsidR="006E1BE4" w:rsidRDefault="006E1BE4" w:rsidP="00546496">
      <w:r>
        <w:separator/>
      </w:r>
    </w:p>
  </w:footnote>
  <w:footnote w:type="continuationSeparator" w:id="0">
    <w:p w14:paraId="4781AA36" w14:textId="77777777" w:rsidR="006E1BE4" w:rsidRDefault="006E1BE4" w:rsidP="00546496">
      <w:r>
        <w:continuationSeparator/>
      </w:r>
    </w:p>
  </w:footnote>
  <w:footnote w:type="continuationNotice" w:id="1">
    <w:p w14:paraId="541B26D8" w14:textId="77777777" w:rsidR="00F3656A" w:rsidRDefault="00F3656A"/>
  </w:footnote>
  <w:footnote w:id="2">
    <w:p w14:paraId="43B0B24E" w14:textId="30E03234" w:rsidR="00F107FA" w:rsidRDefault="00F107FA">
      <w:pPr>
        <w:pStyle w:val="FootnoteText"/>
      </w:pPr>
      <w:r>
        <w:rPr>
          <w:rStyle w:val="FootnoteReference"/>
        </w:rPr>
        <w:footnoteRef/>
      </w:r>
      <w:r>
        <w:t xml:space="preserve"> </w:t>
      </w:r>
      <w:r w:rsidRPr="00872C4B">
        <w:rPr>
          <w:sz w:val="16"/>
          <w:szCs w:val="16"/>
        </w:rPr>
        <w:t>For example: tissue blocks stored in laboratory archives are requested for use in research at a collaborating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E23D" w14:textId="4E550792" w:rsidR="003261F4" w:rsidRPr="003261F4" w:rsidRDefault="003261F4">
    <w:pPr>
      <w:pStyle w:val="Header"/>
      <w:jc w:val="right"/>
      <w:rPr>
        <w:caps/>
      </w:rPr>
    </w:pPr>
  </w:p>
  <w:p w14:paraId="466B1035" w14:textId="09F7111B" w:rsidR="003261F4" w:rsidRPr="003261F4" w:rsidRDefault="00BC70AB">
    <w:pPr>
      <w:pStyle w:val="Header"/>
      <w:jc w:val="center"/>
      <w:rPr>
        <w:b/>
        <w:sz w:val="28"/>
        <w:szCs w:val="28"/>
      </w:rPr>
    </w:pPr>
    <w:sdt>
      <w:sdtPr>
        <w:rPr>
          <w:b/>
          <w:caps/>
          <w:sz w:val="28"/>
          <w:szCs w:val="28"/>
        </w:rPr>
        <w:alias w:val="Title"/>
        <w:tag w:val=""/>
        <w:id w:val="-484788024"/>
        <w:placeholder>
          <w:docPart w:val="7B4E858FDAF64984B66B9C636E7FA501"/>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440709">
          <w:rPr>
            <w:b/>
            <w:caps/>
            <w:sz w:val="28"/>
            <w:szCs w:val="28"/>
          </w:rPr>
          <w:t>MMUHTA</w:t>
        </w:r>
        <w:r w:rsidR="00951C97">
          <w:rPr>
            <w:b/>
            <w:caps/>
            <w:sz w:val="28"/>
            <w:szCs w:val="28"/>
          </w:rPr>
          <w:t>_</w:t>
        </w:r>
        <w:r w:rsidR="00440709">
          <w:rPr>
            <w:b/>
            <w:caps/>
            <w:sz w:val="28"/>
            <w:szCs w:val="28"/>
          </w:rPr>
          <w:t>004</w:t>
        </w:r>
      </w:sdtContent>
    </w:sdt>
  </w:p>
  <w:p w14:paraId="59008A36" w14:textId="77777777" w:rsidR="003261F4" w:rsidRDefault="00326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521"/>
    <w:multiLevelType w:val="hybridMultilevel"/>
    <w:tmpl w:val="898C699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6F0D86"/>
    <w:multiLevelType w:val="hybridMultilevel"/>
    <w:tmpl w:val="00B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0335B"/>
    <w:multiLevelType w:val="hybridMultilevel"/>
    <w:tmpl w:val="B1B4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4276D"/>
    <w:multiLevelType w:val="hybridMultilevel"/>
    <w:tmpl w:val="DDC6B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CD7F64"/>
    <w:multiLevelType w:val="hybridMultilevel"/>
    <w:tmpl w:val="FA1A5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CC0ABC"/>
    <w:multiLevelType w:val="hybridMultilevel"/>
    <w:tmpl w:val="F172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A2C93"/>
    <w:multiLevelType w:val="hybridMultilevel"/>
    <w:tmpl w:val="75F2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242F7"/>
    <w:multiLevelType w:val="hybridMultilevel"/>
    <w:tmpl w:val="B71ADCF2"/>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7EA26D67"/>
    <w:multiLevelType w:val="hybridMultilevel"/>
    <w:tmpl w:val="9436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3264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5608551">
    <w:abstractNumId w:val="7"/>
  </w:num>
  <w:num w:numId="3" w16cid:durableId="1916236269">
    <w:abstractNumId w:val="4"/>
  </w:num>
  <w:num w:numId="4" w16cid:durableId="273442938">
    <w:abstractNumId w:val="2"/>
  </w:num>
  <w:num w:numId="5" w16cid:durableId="1160853741">
    <w:abstractNumId w:val="3"/>
  </w:num>
  <w:num w:numId="6" w16cid:durableId="1210412487">
    <w:abstractNumId w:val="0"/>
  </w:num>
  <w:num w:numId="7" w16cid:durableId="208611032">
    <w:abstractNumId w:val="6"/>
  </w:num>
  <w:num w:numId="8" w16cid:durableId="557254208">
    <w:abstractNumId w:val="8"/>
  </w:num>
  <w:num w:numId="9" w16cid:durableId="1202085978">
    <w:abstractNumId w:val="1"/>
  </w:num>
  <w:num w:numId="10" w16cid:durableId="1196118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DB"/>
    <w:rsid w:val="00004D1A"/>
    <w:rsid w:val="000164EF"/>
    <w:rsid w:val="00040796"/>
    <w:rsid w:val="000663F6"/>
    <w:rsid w:val="00094D93"/>
    <w:rsid w:val="000B22A4"/>
    <w:rsid w:val="000C3E27"/>
    <w:rsid w:val="001826A4"/>
    <w:rsid w:val="0018335D"/>
    <w:rsid w:val="002209C9"/>
    <w:rsid w:val="00221EDA"/>
    <w:rsid w:val="00251161"/>
    <w:rsid w:val="00286CE1"/>
    <w:rsid w:val="002A5167"/>
    <w:rsid w:val="002D7B22"/>
    <w:rsid w:val="002E43A1"/>
    <w:rsid w:val="002F79B8"/>
    <w:rsid w:val="003048DB"/>
    <w:rsid w:val="003178D3"/>
    <w:rsid w:val="003261F4"/>
    <w:rsid w:val="00336057"/>
    <w:rsid w:val="003C2733"/>
    <w:rsid w:val="003D056D"/>
    <w:rsid w:val="003F1481"/>
    <w:rsid w:val="004326D4"/>
    <w:rsid w:val="00440709"/>
    <w:rsid w:val="00487F7E"/>
    <w:rsid w:val="00495855"/>
    <w:rsid w:val="004C36C5"/>
    <w:rsid w:val="004D781F"/>
    <w:rsid w:val="004F1436"/>
    <w:rsid w:val="00503409"/>
    <w:rsid w:val="005166B6"/>
    <w:rsid w:val="005330FC"/>
    <w:rsid w:val="0053488C"/>
    <w:rsid w:val="00546496"/>
    <w:rsid w:val="00552C83"/>
    <w:rsid w:val="00554320"/>
    <w:rsid w:val="00560B0F"/>
    <w:rsid w:val="005A2EC2"/>
    <w:rsid w:val="005D5AFC"/>
    <w:rsid w:val="005E66BC"/>
    <w:rsid w:val="0063198A"/>
    <w:rsid w:val="0064678C"/>
    <w:rsid w:val="0065256E"/>
    <w:rsid w:val="00653FBD"/>
    <w:rsid w:val="006844C0"/>
    <w:rsid w:val="00695685"/>
    <w:rsid w:val="006B0A11"/>
    <w:rsid w:val="006B35E9"/>
    <w:rsid w:val="006E1BE4"/>
    <w:rsid w:val="006E2057"/>
    <w:rsid w:val="006E7588"/>
    <w:rsid w:val="006E7914"/>
    <w:rsid w:val="007151BD"/>
    <w:rsid w:val="0072206F"/>
    <w:rsid w:val="007224AE"/>
    <w:rsid w:val="007366BE"/>
    <w:rsid w:val="00755F91"/>
    <w:rsid w:val="00763764"/>
    <w:rsid w:val="007F59B2"/>
    <w:rsid w:val="007F65EB"/>
    <w:rsid w:val="00807F12"/>
    <w:rsid w:val="00823A4F"/>
    <w:rsid w:val="00856F61"/>
    <w:rsid w:val="00870429"/>
    <w:rsid w:val="008708D0"/>
    <w:rsid w:val="00872C4B"/>
    <w:rsid w:val="008D66B4"/>
    <w:rsid w:val="008F0310"/>
    <w:rsid w:val="008F1526"/>
    <w:rsid w:val="0094529C"/>
    <w:rsid w:val="00951C97"/>
    <w:rsid w:val="009E70BB"/>
    <w:rsid w:val="009F170A"/>
    <w:rsid w:val="009F7BC6"/>
    <w:rsid w:val="00A730F4"/>
    <w:rsid w:val="00A80761"/>
    <w:rsid w:val="00AA4DFF"/>
    <w:rsid w:val="00AE40F2"/>
    <w:rsid w:val="00B0234E"/>
    <w:rsid w:val="00B05B17"/>
    <w:rsid w:val="00B614DF"/>
    <w:rsid w:val="00B73C5A"/>
    <w:rsid w:val="00B84D21"/>
    <w:rsid w:val="00B90CE0"/>
    <w:rsid w:val="00B92DC6"/>
    <w:rsid w:val="00B93C42"/>
    <w:rsid w:val="00B96963"/>
    <w:rsid w:val="00BC3BBF"/>
    <w:rsid w:val="00BC70AB"/>
    <w:rsid w:val="00BE3B1D"/>
    <w:rsid w:val="00C27723"/>
    <w:rsid w:val="00C82A66"/>
    <w:rsid w:val="00C8744C"/>
    <w:rsid w:val="00C875CE"/>
    <w:rsid w:val="00C93526"/>
    <w:rsid w:val="00CA4B67"/>
    <w:rsid w:val="00CA72DB"/>
    <w:rsid w:val="00CB6B57"/>
    <w:rsid w:val="00CB6C7D"/>
    <w:rsid w:val="00CD0277"/>
    <w:rsid w:val="00D54D0C"/>
    <w:rsid w:val="00DA3031"/>
    <w:rsid w:val="00DB3559"/>
    <w:rsid w:val="00DB7B0E"/>
    <w:rsid w:val="00E146BF"/>
    <w:rsid w:val="00E440B4"/>
    <w:rsid w:val="00E732C2"/>
    <w:rsid w:val="00E76DDC"/>
    <w:rsid w:val="00E87B2E"/>
    <w:rsid w:val="00E94389"/>
    <w:rsid w:val="00E94C5A"/>
    <w:rsid w:val="00EA3834"/>
    <w:rsid w:val="00EB33A0"/>
    <w:rsid w:val="00F107FA"/>
    <w:rsid w:val="00F142C2"/>
    <w:rsid w:val="00F349ED"/>
    <w:rsid w:val="00F3656A"/>
    <w:rsid w:val="00F812C8"/>
    <w:rsid w:val="00FE1584"/>
    <w:rsid w:val="00FE276A"/>
    <w:rsid w:val="017C4AE6"/>
    <w:rsid w:val="02C12D95"/>
    <w:rsid w:val="05FE76BC"/>
    <w:rsid w:val="0775EF43"/>
    <w:rsid w:val="0AAC895F"/>
    <w:rsid w:val="0BFBDA24"/>
    <w:rsid w:val="0C01B6A2"/>
    <w:rsid w:val="0EFDB595"/>
    <w:rsid w:val="1003B4E9"/>
    <w:rsid w:val="1089E8BC"/>
    <w:rsid w:val="13CC37E8"/>
    <w:rsid w:val="157FE179"/>
    <w:rsid w:val="182FC792"/>
    <w:rsid w:val="189B6AAA"/>
    <w:rsid w:val="1B496557"/>
    <w:rsid w:val="1C0BC85E"/>
    <w:rsid w:val="1DECF455"/>
    <w:rsid w:val="1F0C288D"/>
    <w:rsid w:val="1FE32C2E"/>
    <w:rsid w:val="25027498"/>
    <w:rsid w:val="28F1C8C6"/>
    <w:rsid w:val="2904328A"/>
    <w:rsid w:val="29434D00"/>
    <w:rsid w:val="2B0C04EA"/>
    <w:rsid w:val="2B7799BA"/>
    <w:rsid w:val="2C79C18C"/>
    <w:rsid w:val="2CA7D54B"/>
    <w:rsid w:val="2CAFEAA1"/>
    <w:rsid w:val="302C6C5E"/>
    <w:rsid w:val="3082FEAE"/>
    <w:rsid w:val="321EA7E0"/>
    <w:rsid w:val="3291A84B"/>
    <w:rsid w:val="366BD133"/>
    <w:rsid w:val="3982813A"/>
    <w:rsid w:val="3D7DE440"/>
    <w:rsid w:val="4109206A"/>
    <w:rsid w:val="41A4937E"/>
    <w:rsid w:val="4468B929"/>
    <w:rsid w:val="45C4AAFC"/>
    <w:rsid w:val="472AE9C7"/>
    <w:rsid w:val="473C6359"/>
    <w:rsid w:val="474F6A56"/>
    <w:rsid w:val="490107F6"/>
    <w:rsid w:val="49ED57B6"/>
    <w:rsid w:val="4C6BF57E"/>
    <w:rsid w:val="4DB34D74"/>
    <w:rsid w:val="4E2FF587"/>
    <w:rsid w:val="4E80E29E"/>
    <w:rsid w:val="4E9E03D2"/>
    <w:rsid w:val="4EF962D4"/>
    <w:rsid w:val="512A2036"/>
    <w:rsid w:val="5137037B"/>
    <w:rsid w:val="51460055"/>
    <w:rsid w:val="522D1060"/>
    <w:rsid w:val="533F35B2"/>
    <w:rsid w:val="58779DB6"/>
    <w:rsid w:val="5992BB3D"/>
    <w:rsid w:val="59E92AE8"/>
    <w:rsid w:val="5CF7D01E"/>
    <w:rsid w:val="5D23A260"/>
    <w:rsid w:val="5EB05F49"/>
    <w:rsid w:val="60145EDB"/>
    <w:rsid w:val="650EB759"/>
    <w:rsid w:val="67064906"/>
    <w:rsid w:val="68F6530F"/>
    <w:rsid w:val="690E8596"/>
    <w:rsid w:val="6B814B43"/>
    <w:rsid w:val="6BD98698"/>
    <w:rsid w:val="6D2215B9"/>
    <w:rsid w:val="6F6CABDD"/>
    <w:rsid w:val="70AC93F4"/>
    <w:rsid w:val="7208226D"/>
    <w:rsid w:val="72BBCEC1"/>
    <w:rsid w:val="751B81E3"/>
    <w:rsid w:val="752CC8A9"/>
    <w:rsid w:val="76BEE96D"/>
    <w:rsid w:val="7718F1BE"/>
    <w:rsid w:val="78C2C34D"/>
    <w:rsid w:val="7A795F39"/>
    <w:rsid w:val="7F08F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9F8D1"/>
  <w14:defaultImageDpi w14:val="150"/>
  <w15:docId w15:val="{59148C9C-652F-48D1-9662-95972591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27"/>
    <w:pPr>
      <w:spacing w:after="0" w:line="240" w:lineRule="auto"/>
      <w:jc w:val="both"/>
    </w:pPr>
    <w:rPr>
      <w:rFonts w:ascii="Arial" w:hAnsi="Arial" w:cs="Arial"/>
      <w:szCs w:val="24"/>
    </w:rPr>
  </w:style>
  <w:style w:type="paragraph" w:styleId="Heading1">
    <w:name w:val="heading 1"/>
    <w:basedOn w:val="Normal"/>
    <w:next w:val="Normal"/>
    <w:link w:val="Heading1Char"/>
    <w:uiPriority w:val="9"/>
    <w:qFormat/>
    <w:rsid w:val="000C3E27"/>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C3E27"/>
    <w:pPr>
      <w:keepNext/>
      <w:keepLines/>
      <w:spacing w:before="40"/>
      <w:outlineLvl w:val="1"/>
    </w:pPr>
    <w:rPr>
      <w:rFonts w:eastAsiaTheme="majorEastAsia" w:cstheme="majorBidi"/>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8D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48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48DB"/>
    <w:rPr>
      <w:rFonts w:ascii="Tahoma" w:hAnsi="Tahoma" w:cs="Tahoma"/>
      <w:sz w:val="16"/>
      <w:szCs w:val="16"/>
    </w:rPr>
  </w:style>
  <w:style w:type="character" w:customStyle="1" w:styleId="BalloonTextChar">
    <w:name w:val="Balloon Text Char"/>
    <w:basedOn w:val="DefaultParagraphFont"/>
    <w:link w:val="BalloonText"/>
    <w:uiPriority w:val="99"/>
    <w:semiHidden/>
    <w:rsid w:val="003048DB"/>
    <w:rPr>
      <w:rFonts w:ascii="Tahoma" w:hAnsi="Tahoma" w:cs="Tahoma"/>
      <w:sz w:val="16"/>
      <w:szCs w:val="16"/>
    </w:rPr>
  </w:style>
  <w:style w:type="character" w:styleId="CommentReference">
    <w:name w:val="annotation reference"/>
    <w:basedOn w:val="DefaultParagraphFont"/>
    <w:uiPriority w:val="99"/>
    <w:semiHidden/>
    <w:unhideWhenUsed/>
    <w:rsid w:val="003D056D"/>
    <w:rPr>
      <w:sz w:val="16"/>
      <w:szCs w:val="16"/>
    </w:rPr>
  </w:style>
  <w:style w:type="paragraph" w:styleId="CommentText">
    <w:name w:val="annotation text"/>
    <w:basedOn w:val="Normal"/>
    <w:link w:val="CommentTextChar"/>
    <w:uiPriority w:val="99"/>
    <w:semiHidden/>
    <w:unhideWhenUsed/>
    <w:rsid w:val="003D056D"/>
    <w:rPr>
      <w:sz w:val="20"/>
      <w:szCs w:val="20"/>
    </w:rPr>
  </w:style>
  <w:style w:type="character" w:customStyle="1" w:styleId="CommentTextChar">
    <w:name w:val="Comment Text Char"/>
    <w:basedOn w:val="DefaultParagraphFont"/>
    <w:link w:val="CommentText"/>
    <w:uiPriority w:val="99"/>
    <w:semiHidden/>
    <w:rsid w:val="003D056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056D"/>
    <w:rPr>
      <w:b/>
      <w:bCs/>
    </w:rPr>
  </w:style>
  <w:style w:type="character" w:customStyle="1" w:styleId="CommentSubjectChar">
    <w:name w:val="Comment Subject Char"/>
    <w:basedOn w:val="CommentTextChar"/>
    <w:link w:val="CommentSubject"/>
    <w:uiPriority w:val="99"/>
    <w:semiHidden/>
    <w:rsid w:val="003D056D"/>
    <w:rPr>
      <w:rFonts w:ascii="Arial" w:hAnsi="Arial" w:cs="Arial"/>
      <w:b/>
      <w:bCs/>
      <w:sz w:val="20"/>
      <w:szCs w:val="20"/>
    </w:rPr>
  </w:style>
  <w:style w:type="character" w:styleId="Hyperlink">
    <w:name w:val="Hyperlink"/>
    <w:basedOn w:val="DefaultParagraphFont"/>
    <w:uiPriority w:val="99"/>
    <w:unhideWhenUsed/>
    <w:rsid w:val="004C36C5"/>
    <w:rPr>
      <w:color w:val="0000FF" w:themeColor="hyperlink"/>
      <w:u w:val="single"/>
    </w:rPr>
  </w:style>
  <w:style w:type="paragraph" w:styleId="FootnoteText">
    <w:name w:val="footnote text"/>
    <w:basedOn w:val="Normal"/>
    <w:link w:val="FootnoteTextChar"/>
    <w:uiPriority w:val="99"/>
    <w:semiHidden/>
    <w:unhideWhenUsed/>
    <w:rsid w:val="00546496"/>
    <w:rPr>
      <w:sz w:val="20"/>
      <w:szCs w:val="20"/>
    </w:rPr>
  </w:style>
  <w:style w:type="character" w:customStyle="1" w:styleId="FootnoteTextChar">
    <w:name w:val="Footnote Text Char"/>
    <w:basedOn w:val="DefaultParagraphFont"/>
    <w:link w:val="FootnoteText"/>
    <w:uiPriority w:val="99"/>
    <w:semiHidden/>
    <w:rsid w:val="00546496"/>
    <w:rPr>
      <w:rFonts w:ascii="Arial" w:hAnsi="Arial" w:cs="Arial"/>
      <w:sz w:val="20"/>
      <w:szCs w:val="20"/>
    </w:rPr>
  </w:style>
  <w:style w:type="character" w:styleId="FootnoteReference">
    <w:name w:val="footnote reference"/>
    <w:basedOn w:val="DefaultParagraphFont"/>
    <w:uiPriority w:val="99"/>
    <w:semiHidden/>
    <w:unhideWhenUsed/>
    <w:rsid w:val="00546496"/>
    <w:rPr>
      <w:vertAlign w:val="superscript"/>
    </w:rPr>
  </w:style>
  <w:style w:type="paragraph" w:styleId="ListParagraph">
    <w:name w:val="List Paragraph"/>
    <w:basedOn w:val="Normal"/>
    <w:uiPriority w:val="34"/>
    <w:qFormat/>
    <w:rsid w:val="00CB6B57"/>
    <w:pPr>
      <w:ind w:left="720"/>
      <w:contextualSpacing/>
    </w:pPr>
  </w:style>
  <w:style w:type="character" w:styleId="FollowedHyperlink">
    <w:name w:val="FollowedHyperlink"/>
    <w:basedOn w:val="DefaultParagraphFont"/>
    <w:uiPriority w:val="99"/>
    <w:semiHidden/>
    <w:unhideWhenUsed/>
    <w:rsid w:val="00F107FA"/>
    <w:rPr>
      <w:color w:val="800080" w:themeColor="followedHyperlink"/>
      <w:u w:val="single"/>
    </w:rPr>
  </w:style>
  <w:style w:type="paragraph" w:styleId="Header">
    <w:name w:val="header"/>
    <w:basedOn w:val="Normal"/>
    <w:link w:val="HeaderChar"/>
    <w:uiPriority w:val="99"/>
    <w:unhideWhenUsed/>
    <w:rsid w:val="003261F4"/>
    <w:pPr>
      <w:tabs>
        <w:tab w:val="center" w:pos="4513"/>
        <w:tab w:val="right" w:pos="9026"/>
      </w:tabs>
    </w:pPr>
  </w:style>
  <w:style w:type="character" w:customStyle="1" w:styleId="HeaderChar">
    <w:name w:val="Header Char"/>
    <w:basedOn w:val="DefaultParagraphFont"/>
    <w:link w:val="Header"/>
    <w:uiPriority w:val="99"/>
    <w:rsid w:val="003261F4"/>
    <w:rPr>
      <w:rFonts w:ascii="Arial" w:hAnsi="Arial" w:cs="Arial"/>
      <w:sz w:val="24"/>
      <w:szCs w:val="24"/>
    </w:rPr>
  </w:style>
  <w:style w:type="paragraph" w:styleId="Footer">
    <w:name w:val="footer"/>
    <w:basedOn w:val="Normal"/>
    <w:link w:val="FooterChar"/>
    <w:uiPriority w:val="99"/>
    <w:unhideWhenUsed/>
    <w:rsid w:val="003261F4"/>
    <w:pPr>
      <w:tabs>
        <w:tab w:val="center" w:pos="4513"/>
        <w:tab w:val="right" w:pos="9026"/>
      </w:tabs>
    </w:pPr>
  </w:style>
  <w:style w:type="character" w:customStyle="1" w:styleId="FooterChar">
    <w:name w:val="Footer Char"/>
    <w:basedOn w:val="DefaultParagraphFont"/>
    <w:link w:val="Footer"/>
    <w:uiPriority w:val="99"/>
    <w:rsid w:val="003261F4"/>
    <w:rPr>
      <w:rFonts w:ascii="Arial" w:hAnsi="Arial" w:cs="Arial"/>
      <w:sz w:val="24"/>
      <w:szCs w:val="24"/>
    </w:rPr>
  </w:style>
  <w:style w:type="character" w:styleId="PlaceholderText">
    <w:name w:val="Placeholder Text"/>
    <w:basedOn w:val="DefaultParagraphFont"/>
    <w:uiPriority w:val="99"/>
    <w:semiHidden/>
    <w:rsid w:val="003261F4"/>
    <w:rPr>
      <w:color w:val="808080"/>
    </w:rPr>
  </w:style>
  <w:style w:type="paragraph" w:styleId="Revision">
    <w:name w:val="Revision"/>
    <w:hidden/>
    <w:uiPriority w:val="99"/>
    <w:semiHidden/>
    <w:rsid w:val="002A5167"/>
    <w:pPr>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0C3E2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0C3E27"/>
    <w:rPr>
      <w:rFonts w:ascii="Arial" w:eastAsiaTheme="majorEastAsia" w:hAnsi="Arial" w:cstheme="majorBidi"/>
      <w:i/>
      <w:sz w:val="24"/>
      <w:szCs w:val="26"/>
      <w:u w:val="single"/>
    </w:rPr>
  </w:style>
  <w:style w:type="character" w:styleId="UnresolvedMention">
    <w:name w:val="Unresolved Mention"/>
    <w:basedOn w:val="DefaultParagraphFont"/>
    <w:uiPriority w:val="99"/>
    <w:semiHidden/>
    <w:unhideWhenUsed/>
    <w:rsid w:val="000B2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4372">
      <w:bodyDiv w:val="1"/>
      <w:marLeft w:val="0"/>
      <w:marRight w:val="0"/>
      <w:marTop w:val="0"/>
      <w:marBottom w:val="0"/>
      <w:divBdr>
        <w:top w:val="none" w:sz="0" w:space="0" w:color="auto"/>
        <w:left w:val="none" w:sz="0" w:space="0" w:color="auto"/>
        <w:bottom w:val="none" w:sz="0" w:space="0" w:color="auto"/>
        <w:right w:val="none" w:sz="0" w:space="0" w:color="auto"/>
      </w:divBdr>
    </w:div>
    <w:div w:id="15830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RKE-Contracts@mmu.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tummuac.sharepoint.com/:w:/r/sites/pro-rke-hta/Shared%20Documents/SOPs/MMUHTA_003%20Material%20Transfer%20V1.3.docx?d=w671bfde326ff4e8cbf4b9cf1fd98cb75&amp;csf=1&amp;web=1&amp;e=cfHY5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KE-Contracts@mmu.ac.u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stummuac.sharepoint.com/:w:/r/sites/pro-rke-hta/Shared%20Documents/SOPs/MMUHTA_003%20Material%20Transfer%20V1.3.docx?d=w671bfde326ff4e8cbf4b9cf1fd98cb75&amp;csf=1&amp;web=1&amp;e=cfHY5B"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ericycle.co.uk/en-gb"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E858FDAF64984B66B9C636E7FA501"/>
        <w:category>
          <w:name w:val="General"/>
          <w:gallery w:val="placeholder"/>
        </w:category>
        <w:types>
          <w:type w:val="bbPlcHdr"/>
        </w:types>
        <w:behaviors>
          <w:behavior w:val="content"/>
        </w:behaviors>
        <w:guid w:val="{9337D150-515F-4E58-B270-8141B46397D4}"/>
      </w:docPartPr>
      <w:docPartBody>
        <w:p w:rsidR="00975134" w:rsidRDefault="005A2EC2" w:rsidP="005A2EC2">
          <w:pPr>
            <w:pStyle w:val="7B4E858FDAF64984B66B9C636E7FA501"/>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C2"/>
    <w:rsid w:val="002D6554"/>
    <w:rsid w:val="005A2EC2"/>
    <w:rsid w:val="00610E27"/>
    <w:rsid w:val="00715DBB"/>
    <w:rsid w:val="007731A7"/>
    <w:rsid w:val="0094240E"/>
    <w:rsid w:val="00975134"/>
    <w:rsid w:val="009C0AAE"/>
    <w:rsid w:val="00C214A4"/>
    <w:rsid w:val="00EA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EC2"/>
    <w:rPr>
      <w:color w:val="808080"/>
    </w:rPr>
  </w:style>
  <w:style w:type="paragraph" w:customStyle="1" w:styleId="7B4E858FDAF64984B66B9C636E7FA501">
    <w:name w:val="7B4E858FDAF64984B66B9C636E7FA501"/>
    <w:rsid w:val="005A2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2020-01-24T00:00:00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8803ec0-b98c-4c78-af3f-fba87c723d74" xsi:nil="true"/>
    <lcf76f155ced4ddcb4097134ff3c332f xmlns="d8526990-09d6-408f-8dc5-982e7f8f20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243D22A0B6EE49B9CEE0611E432DF4" ma:contentTypeVersion="14" ma:contentTypeDescription="Create a new document." ma:contentTypeScope="" ma:versionID="c00c5506cb69de19bf68db7a07673fb8">
  <xsd:schema xmlns:xsd="http://www.w3.org/2001/XMLSchema" xmlns:xs="http://www.w3.org/2001/XMLSchema" xmlns:p="http://schemas.microsoft.com/office/2006/metadata/properties" xmlns:ns2="d8526990-09d6-408f-8dc5-982e7f8f2066" xmlns:ns3="08803ec0-b98c-4c78-af3f-fba87c723d74" targetNamespace="http://schemas.microsoft.com/office/2006/metadata/properties" ma:root="true" ma:fieldsID="62b7ac90248a1c6057822eff85bc623b" ns2:_="" ns3:_="">
    <xsd:import namespace="d8526990-09d6-408f-8dc5-982e7f8f2066"/>
    <xsd:import namespace="08803ec0-b98c-4c78-af3f-fba87c723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26990-09d6-408f-8dc5-982e7f8f2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803ec0-b98c-4c78-af3f-fba87c723d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6b4034-8aea-4e4b-9e4f-91d9b0855b5f}" ma:internalName="TaxCatchAll" ma:showField="CatchAllData" ma:web="08803ec0-b98c-4c78-af3f-fba87c723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B43727-F24E-46C8-83BE-FC951782E577}">
  <ds:schemaRefs>
    <ds:schemaRef ds:uri="08803ec0-b98c-4c78-af3f-fba87c723d74"/>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d8526990-09d6-408f-8dc5-982e7f8f2066"/>
    <ds:schemaRef ds:uri="http://purl.org/dc/terms/"/>
    <ds:schemaRef ds:uri="http://purl.org/dc/elements/1.1/"/>
  </ds:schemaRefs>
</ds:datastoreItem>
</file>

<file path=customXml/itemProps3.xml><?xml version="1.0" encoding="utf-8"?>
<ds:datastoreItem xmlns:ds="http://schemas.openxmlformats.org/officeDocument/2006/customXml" ds:itemID="{2A3FA963-344F-4B75-8FCC-C995604D1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26990-09d6-408f-8dc5-982e7f8f2066"/>
    <ds:schemaRef ds:uri="08803ec0-b98c-4c78-af3f-fba87c723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2AC82-6FC4-4F6D-9947-1AD37DDE99E5}">
  <ds:schemaRefs>
    <ds:schemaRef ds:uri="http://schemas.microsoft.com/sharepoint/v3/contenttype/forms"/>
  </ds:schemaRefs>
</ds:datastoreItem>
</file>

<file path=customXml/itemProps5.xml><?xml version="1.0" encoding="utf-8"?>
<ds:datastoreItem xmlns:ds="http://schemas.openxmlformats.org/officeDocument/2006/customXml" ds:itemID="{570F4FEA-9BA0-4749-A35D-00ED57D0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1839</Words>
  <Characters>10483</Characters>
  <Application>Microsoft Office Word</Application>
  <DocSecurity>4</DocSecurity>
  <Lines>87</Lines>
  <Paragraphs>24</Paragraphs>
  <ScaleCrop>false</ScaleCrop>
  <Company>MMU</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MMUHTA_004</dc:title>
  <dc:subject/>
  <dc:creator>MMU User</dc:creator>
  <cp:keywords/>
  <cp:lastModifiedBy>Liam Hanson</cp:lastModifiedBy>
  <cp:revision>37</cp:revision>
  <dcterms:created xsi:type="dcterms:W3CDTF">2023-01-30T22:48:00Z</dcterms:created>
  <dcterms:modified xsi:type="dcterms:W3CDTF">2023-03-03T00:42:00Z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0x010100B5243D22A0B6EE49B9CEE0611E432DF4</vt:lpwstr>
  </property>
  <property fmtid="{D5CDD505-2E9C-101B-9397-08002B2CF9AE}" pid="3" name="MediaServiceImageTags">
    <vt:lpwstr/>
  </property>
</Properties>
</file>