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891" w14:textId="3D57AF27" w:rsidR="00B2120B" w:rsidRDefault="00D755F6" w:rsidP="00D755F6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7E75065" wp14:editId="666CA795">
            <wp:extent cx="1737360" cy="664845"/>
            <wp:effectExtent l="0" t="0" r="0" b="1905"/>
            <wp:docPr id="30" name="Picture 30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58EB" w14:textId="09B0D925" w:rsidR="00D755F6" w:rsidRPr="00D755F6" w:rsidRDefault="00A76975" w:rsidP="005E5C50">
      <w:pPr>
        <w:jc w:val="center"/>
        <w:rPr>
          <w:b/>
          <w:bCs/>
        </w:rPr>
      </w:pPr>
      <w:r w:rsidRPr="00C92953">
        <w:rPr>
          <w:b/>
          <w:bCs/>
        </w:rPr>
        <w:t>STANDARD OPERATING PROCEDURE</w:t>
      </w:r>
    </w:p>
    <w:p w14:paraId="5CD5C736" w14:textId="77777777" w:rsidR="00A76975" w:rsidRPr="00C92953" w:rsidRDefault="00A76975" w:rsidP="00A76975">
      <w:pPr>
        <w:rPr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621"/>
      </w:tblGrid>
      <w:tr w:rsidR="00A76975" w14:paraId="47575846" w14:textId="77777777" w:rsidTr="005E5C50">
        <w:trPr>
          <w:trHeight w:hRule="exact" w:val="567"/>
          <w:jc w:val="center"/>
        </w:trPr>
        <w:tc>
          <w:tcPr>
            <w:tcW w:w="5228" w:type="dxa"/>
            <w:vAlign w:val="center"/>
          </w:tcPr>
          <w:p w14:paraId="014CE22F" w14:textId="77777777" w:rsidR="00A76975" w:rsidRPr="00C92953" w:rsidRDefault="00A76975" w:rsidP="00115085">
            <w:pPr>
              <w:jc w:val="center"/>
              <w:rPr>
                <w:b/>
                <w:bCs/>
              </w:rPr>
            </w:pPr>
            <w:r w:rsidRPr="00C92953">
              <w:rPr>
                <w:b/>
                <w:bCs/>
              </w:rPr>
              <w:t>Re</w:t>
            </w:r>
            <w:r>
              <w:rPr>
                <w:b/>
                <w:bCs/>
              </w:rPr>
              <w:t>ference Number</w:t>
            </w:r>
          </w:p>
        </w:tc>
        <w:tc>
          <w:tcPr>
            <w:tcW w:w="5228" w:type="dxa"/>
            <w:vAlign w:val="center"/>
          </w:tcPr>
          <w:p w14:paraId="7D8DE356" w14:textId="77E6FCF7" w:rsidR="00A76975" w:rsidRPr="00C92953" w:rsidRDefault="0005339F" w:rsidP="0011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MMU</w:t>
            </w:r>
            <w:r w:rsidR="00A76975">
              <w:rPr>
                <w:b/>
                <w:bCs/>
              </w:rPr>
              <w:t>HTA</w:t>
            </w:r>
            <w:r w:rsidR="00BB3DE8">
              <w:rPr>
                <w:b/>
                <w:bCs/>
              </w:rPr>
              <w:t>_</w:t>
            </w:r>
            <w:r>
              <w:rPr>
                <w:b/>
                <w:bCs/>
              </w:rPr>
              <w:t>005</w:t>
            </w:r>
          </w:p>
        </w:tc>
      </w:tr>
      <w:tr w:rsidR="00B2120B" w14:paraId="2FBC13B3" w14:textId="77777777" w:rsidTr="005E5C50">
        <w:trPr>
          <w:trHeight w:hRule="exact" w:val="567"/>
          <w:jc w:val="center"/>
        </w:trPr>
        <w:tc>
          <w:tcPr>
            <w:tcW w:w="5228" w:type="dxa"/>
            <w:vAlign w:val="center"/>
          </w:tcPr>
          <w:p w14:paraId="5BFC9558" w14:textId="1D86BBEC" w:rsidR="00B2120B" w:rsidRDefault="00B2120B" w:rsidP="00B2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228" w:type="dxa"/>
            <w:vAlign w:val="center"/>
          </w:tcPr>
          <w:p w14:paraId="03FA2DCF" w14:textId="54E41C4F" w:rsidR="00B2120B" w:rsidRDefault="00B2120B" w:rsidP="00B2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Cleaning and Decontamination</w:t>
            </w:r>
          </w:p>
        </w:tc>
      </w:tr>
      <w:tr w:rsidR="00B2120B" w14:paraId="5437AD42" w14:textId="77777777" w:rsidTr="005E5C50">
        <w:trPr>
          <w:trHeight w:hRule="exact" w:val="567"/>
          <w:jc w:val="center"/>
        </w:trPr>
        <w:tc>
          <w:tcPr>
            <w:tcW w:w="5228" w:type="dxa"/>
            <w:vAlign w:val="center"/>
          </w:tcPr>
          <w:p w14:paraId="7CE2485F" w14:textId="7438F770" w:rsidR="00B2120B" w:rsidRPr="00C92953" w:rsidRDefault="00B2120B" w:rsidP="00B2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5228" w:type="dxa"/>
            <w:vAlign w:val="center"/>
          </w:tcPr>
          <w:p w14:paraId="0FFF67A4" w14:textId="0570F0AC" w:rsidR="00B2120B" w:rsidRPr="00C92953" w:rsidRDefault="001C7307" w:rsidP="00057CB7">
            <w:pPr>
              <w:jc w:val="center"/>
              <w:rPr>
                <w:b/>
                <w:bCs/>
              </w:rPr>
            </w:pPr>
            <w:r w:rsidRPr="001C7307">
              <w:rPr>
                <w:b/>
                <w:bCs/>
              </w:rPr>
              <w:t>23</w:t>
            </w:r>
            <w:r>
              <w:rPr>
                <w:b/>
                <w:bCs/>
                <w:vertAlign w:val="superscript"/>
              </w:rPr>
              <w:t>rd</w:t>
            </w:r>
            <w:r w:rsidR="00C200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Febr</w:t>
            </w:r>
            <w:r w:rsidR="00C2000B">
              <w:rPr>
                <w:b/>
                <w:bCs/>
              </w:rPr>
              <w:t>uary 2023</w:t>
            </w:r>
          </w:p>
        </w:tc>
      </w:tr>
      <w:tr w:rsidR="00B2120B" w14:paraId="14D498F9" w14:textId="77777777" w:rsidTr="005E5C50">
        <w:trPr>
          <w:trHeight w:hRule="exact" w:val="567"/>
          <w:jc w:val="center"/>
        </w:trPr>
        <w:tc>
          <w:tcPr>
            <w:tcW w:w="5228" w:type="dxa"/>
            <w:vAlign w:val="center"/>
          </w:tcPr>
          <w:p w14:paraId="76FE9D08" w14:textId="77777777" w:rsidR="00B2120B" w:rsidRPr="00C92953" w:rsidRDefault="00B2120B" w:rsidP="00B2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5228" w:type="dxa"/>
            <w:vAlign w:val="center"/>
          </w:tcPr>
          <w:p w14:paraId="20DB36DE" w14:textId="6CD3935D" w:rsidR="00B2120B" w:rsidRPr="00C92953" w:rsidRDefault="00076126" w:rsidP="00057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7612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March</w:t>
            </w:r>
            <w:r w:rsidR="00C2000B">
              <w:rPr>
                <w:b/>
                <w:bCs/>
              </w:rPr>
              <w:t xml:space="preserve"> 2025</w:t>
            </w:r>
          </w:p>
        </w:tc>
      </w:tr>
      <w:tr w:rsidR="00A76975" w14:paraId="0D5111EF" w14:textId="77777777" w:rsidTr="005E5C50">
        <w:trPr>
          <w:trHeight w:hRule="exact" w:val="567"/>
          <w:jc w:val="center"/>
        </w:trPr>
        <w:tc>
          <w:tcPr>
            <w:tcW w:w="5228" w:type="dxa"/>
            <w:vAlign w:val="center"/>
          </w:tcPr>
          <w:p w14:paraId="3AFD5662" w14:textId="77777777" w:rsidR="00A76975" w:rsidRPr="00C92953" w:rsidRDefault="00A76975" w:rsidP="0011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Superseded Version Number &amp; date</w:t>
            </w:r>
          </w:p>
        </w:tc>
        <w:tc>
          <w:tcPr>
            <w:tcW w:w="5228" w:type="dxa"/>
            <w:vAlign w:val="center"/>
          </w:tcPr>
          <w:p w14:paraId="23E7C3D9" w14:textId="13AE3E6F" w:rsidR="00A76975" w:rsidRPr="00C92953" w:rsidRDefault="5A3E4A31" w:rsidP="00B2120B">
            <w:pPr>
              <w:jc w:val="center"/>
              <w:rPr>
                <w:b/>
                <w:bCs/>
              </w:rPr>
            </w:pPr>
            <w:r w:rsidRPr="2B497B66">
              <w:rPr>
                <w:b/>
                <w:bCs/>
              </w:rPr>
              <w:t>V1.</w:t>
            </w:r>
            <w:r w:rsidR="000927EA">
              <w:rPr>
                <w:b/>
                <w:bCs/>
              </w:rPr>
              <w:t>3</w:t>
            </w:r>
            <w:r w:rsidRPr="2B497B66">
              <w:rPr>
                <w:b/>
                <w:bCs/>
              </w:rPr>
              <w:t xml:space="preserve"> </w:t>
            </w:r>
            <w:r w:rsidR="000927EA">
              <w:rPr>
                <w:b/>
                <w:bCs/>
              </w:rPr>
              <w:t>2</w:t>
            </w:r>
            <w:r w:rsidR="000927EA" w:rsidRPr="000927EA">
              <w:rPr>
                <w:b/>
                <w:bCs/>
                <w:vertAlign w:val="superscript"/>
              </w:rPr>
              <w:t>nd</w:t>
            </w:r>
            <w:r w:rsidR="000927EA">
              <w:rPr>
                <w:b/>
                <w:bCs/>
              </w:rPr>
              <w:t xml:space="preserve"> </w:t>
            </w:r>
            <w:r w:rsidR="00001FAF">
              <w:rPr>
                <w:b/>
                <w:bCs/>
              </w:rPr>
              <w:t>March</w:t>
            </w:r>
            <w:r w:rsidR="000927EA">
              <w:rPr>
                <w:b/>
                <w:bCs/>
              </w:rPr>
              <w:t xml:space="preserve"> 2023</w:t>
            </w:r>
          </w:p>
        </w:tc>
      </w:tr>
      <w:tr w:rsidR="0008353D" w14:paraId="7DC16E4E" w14:textId="77777777" w:rsidTr="005E5C50">
        <w:trPr>
          <w:trHeight w:hRule="exact" w:val="567"/>
          <w:jc w:val="center"/>
        </w:trPr>
        <w:tc>
          <w:tcPr>
            <w:tcW w:w="5228" w:type="dxa"/>
            <w:vAlign w:val="center"/>
          </w:tcPr>
          <w:p w14:paraId="1139B2EA" w14:textId="615BE393" w:rsidR="0008353D" w:rsidRDefault="0008353D" w:rsidP="0011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5228" w:type="dxa"/>
            <w:vAlign w:val="center"/>
          </w:tcPr>
          <w:p w14:paraId="6D91644A" w14:textId="2B59625C" w:rsidR="0008353D" w:rsidRPr="2B497B66" w:rsidRDefault="00125A61" w:rsidP="00B2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Gary Pheas</w:t>
            </w:r>
            <w:r w:rsidR="002D4419">
              <w:rPr>
                <w:b/>
                <w:bCs/>
              </w:rPr>
              <w:t>e</w:t>
            </w:r>
            <w:r>
              <w:rPr>
                <w:b/>
                <w:bCs/>
              </w:rPr>
              <w:t>y</w:t>
            </w:r>
          </w:p>
        </w:tc>
      </w:tr>
      <w:tr w:rsidR="0008353D" w14:paraId="1C20AF68" w14:textId="77777777" w:rsidTr="005E5C50">
        <w:trPr>
          <w:trHeight w:hRule="exact" w:val="567"/>
          <w:jc w:val="center"/>
        </w:trPr>
        <w:tc>
          <w:tcPr>
            <w:tcW w:w="5228" w:type="dxa"/>
            <w:vAlign w:val="center"/>
          </w:tcPr>
          <w:p w14:paraId="00B19742" w14:textId="35D9771A" w:rsidR="0008353D" w:rsidRDefault="0008353D" w:rsidP="0011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</w:p>
        </w:tc>
        <w:tc>
          <w:tcPr>
            <w:tcW w:w="5228" w:type="dxa"/>
            <w:vAlign w:val="center"/>
          </w:tcPr>
          <w:p w14:paraId="38046843" w14:textId="56AD43AD" w:rsidR="0008353D" w:rsidRPr="2B497B66" w:rsidRDefault="000E5BC0" w:rsidP="00B2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Liam Hanson</w:t>
            </w:r>
          </w:p>
        </w:tc>
      </w:tr>
      <w:tr w:rsidR="00A76975" w14:paraId="78FF17DA" w14:textId="77777777" w:rsidTr="005E5C50">
        <w:trPr>
          <w:trHeight w:hRule="exact" w:val="1980"/>
          <w:jc w:val="center"/>
        </w:trPr>
        <w:tc>
          <w:tcPr>
            <w:tcW w:w="5228" w:type="dxa"/>
            <w:vAlign w:val="center"/>
          </w:tcPr>
          <w:p w14:paraId="7E08091B" w14:textId="77777777" w:rsidR="00A76975" w:rsidRPr="00C92953" w:rsidRDefault="00A76975" w:rsidP="0011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Authorisation </w:t>
            </w:r>
          </w:p>
        </w:tc>
        <w:tc>
          <w:tcPr>
            <w:tcW w:w="5228" w:type="dxa"/>
          </w:tcPr>
          <w:p w14:paraId="15524ADF" w14:textId="77777777" w:rsidR="00A76975" w:rsidRPr="00FE3F54" w:rsidRDefault="00A76975" w:rsidP="00115085">
            <w:pPr>
              <w:rPr>
                <w:b/>
                <w:bCs/>
                <w:sz w:val="16"/>
                <w:szCs w:val="16"/>
              </w:rPr>
            </w:pPr>
          </w:p>
          <w:p w14:paraId="7D2FB37F" w14:textId="77777777" w:rsidR="00B2120B" w:rsidRDefault="00B2120B" w:rsidP="00C20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Designated Individual</w:t>
            </w:r>
          </w:p>
          <w:p w14:paraId="2A060AB2" w14:textId="77777777" w:rsidR="00B2120B" w:rsidRDefault="00B2120B" w:rsidP="00C2000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C80DD5" wp14:editId="51D41270">
                  <wp:extent cx="1521229" cy="700035"/>
                  <wp:effectExtent l="0" t="0" r="317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29" cy="70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891D3" w14:textId="0A1480C8" w:rsidR="00A76975" w:rsidRPr="00C92953" w:rsidRDefault="00B2120B" w:rsidP="00C20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 Degens</w:t>
            </w:r>
          </w:p>
        </w:tc>
      </w:tr>
    </w:tbl>
    <w:p w14:paraId="0EEB50A6" w14:textId="77777777" w:rsidR="00D755F6" w:rsidRDefault="00D755F6" w:rsidP="005E5C50">
      <w:pPr>
        <w:pStyle w:val="Heading1"/>
      </w:pPr>
      <w:r>
        <w:t xml:space="preserve">Background </w:t>
      </w:r>
    </w:p>
    <w:p w14:paraId="7481A55A" w14:textId="77777777" w:rsidR="00D755F6" w:rsidRDefault="00D755F6" w:rsidP="005E5C50">
      <w:r w:rsidRPr="00075F30">
        <w:t xml:space="preserve">The University has introduced a quality management system for the governance of the acquisition, storage and use of human tissue. </w:t>
      </w:r>
    </w:p>
    <w:p w14:paraId="2CB16A1E" w14:textId="77777777" w:rsidR="00D755F6" w:rsidRDefault="00D755F6" w:rsidP="005E5C50"/>
    <w:p w14:paraId="2D40B8DF" w14:textId="77777777" w:rsidR="00D755F6" w:rsidRPr="00075F30" w:rsidRDefault="00D755F6" w:rsidP="005E5C50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14:paraId="270110CA" w14:textId="77777777" w:rsidR="00D755F6" w:rsidRDefault="00D755F6" w:rsidP="005E5C50"/>
    <w:p w14:paraId="365E8DA4" w14:textId="35FE8C9A" w:rsidR="00D755F6" w:rsidRPr="005E5C50" w:rsidRDefault="00D755F6" w:rsidP="005E5C50">
      <w:pPr>
        <w:rPr>
          <w:rFonts w:eastAsia="Arial"/>
          <w:color w:val="000000" w:themeColor="text1"/>
        </w:rPr>
      </w:pPr>
      <w:r>
        <w:t>This SOP forms part of a suite of SOPs (MMUHTA</w:t>
      </w:r>
      <w:r w:rsidR="002D4419">
        <w:t>_</w:t>
      </w:r>
      <w:r>
        <w:t xml:space="preserve">001 – </w:t>
      </w:r>
      <w:r w:rsidR="00123743">
        <w:t>MMUHTA</w:t>
      </w:r>
      <w:r w:rsidR="002D4419">
        <w:t>_</w:t>
      </w:r>
      <w:r w:rsidR="00123743">
        <w:t>019</w:t>
      </w:r>
      <w:r>
        <w:t xml:space="preserve">) that support implementation of the quality management system and should be used as directed </w:t>
      </w:r>
      <w:r w:rsidR="452DF657" w:rsidRPr="4BA6A7AC">
        <w:rPr>
          <w:rFonts w:eastAsia="Arial"/>
        </w:rPr>
        <w:t xml:space="preserve">in conjunction with Manchester Metropolitan University’s HTA Code of Practice.  </w:t>
      </w:r>
    </w:p>
    <w:p w14:paraId="646CAB36" w14:textId="77777777" w:rsidR="00D755F6" w:rsidRDefault="00D755F6" w:rsidP="005E5C50">
      <w:pPr>
        <w:pStyle w:val="Heading1"/>
      </w:pPr>
      <w:r>
        <w:t xml:space="preserve">Purpose </w:t>
      </w:r>
    </w:p>
    <w:p w14:paraId="071310AC" w14:textId="323841CD" w:rsidR="00D755F6" w:rsidRPr="001E701F" w:rsidRDefault="00D755F6" w:rsidP="001E701F">
      <w:r>
        <w:t xml:space="preserve">The purpose of this SOP is to set out a </w:t>
      </w:r>
      <w:r w:rsidR="12971C85">
        <w:t>standard template</w:t>
      </w:r>
      <w:r w:rsidR="30B659C0">
        <w:t xml:space="preserve"> for</w:t>
      </w:r>
      <w:r w:rsidR="48C9622F">
        <w:t xml:space="preserve"> the</w:t>
      </w:r>
      <w:r w:rsidR="30B659C0">
        <w:t xml:space="preserve"> cleaning and decontamination of areas where </w:t>
      </w:r>
      <w:r w:rsidR="1E714E81">
        <w:t>material which falls under the Human Tissue Act (2004)</w:t>
      </w:r>
      <w:r w:rsidR="30B659C0">
        <w:t xml:space="preserve"> has been used.</w:t>
      </w:r>
    </w:p>
    <w:p w14:paraId="01735414" w14:textId="3F08D7AD" w:rsidR="00D755F6" w:rsidRDefault="00D755F6" w:rsidP="005E5C50">
      <w:pPr>
        <w:pStyle w:val="Heading1"/>
      </w:pPr>
      <w:r>
        <w:t xml:space="preserve">Human Tissue </w:t>
      </w:r>
      <w:r w:rsidR="001E701F">
        <w:t xml:space="preserve">Definition </w:t>
      </w:r>
    </w:p>
    <w:p w14:paraId="406D4295" w14:textId="77777777" w:rsidR="00D755F6" w:rsidRPr="00075F30" w:rsidRDefault="00D755F6" w:rsidP="008001DC">
      <w:r>
        <w:t>A</w:t>
      </w:r>
      <w:r w:rsidRPr="00075F30">
        <w:t xml:space="preserve">ny, and all, constituent part/s of the human body </w:t>
      </w:r>
      <w:r>
        <w:t>containing</w:t>
      </w:r>
      <w:r w:rsidRPr="00075F30">
        <w:t xml:space="preserve"> cells. </w:t>
      </w:r>
    </w:p>
    <w:p w14:paraId="3AA01443" w14:textId="77777777" w:rsidR="00D755F6" w:rsidRDefault="00D755F6" w:rsidP="00D755F6">
      <w:pPr>
        <w:pStyle w:val="Default"/>
        <w:rPr>
          <w:b/>
          <w:bCs/>
          <w:sz w:val="23"/>
          <w:szCs w:val="23"/>
        </w:rPr>
      </w:pPr>
    </w:p>
    <w:p w14:paraId="2A36343E" w14:textId="77777777" w:rsidR="00D755F6" w:rsidRDefault="00D755F6" w:rsidP="00D755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Scope (of this SOP) </w:t>
      </w:r>
    </w:p>
    <w:p w14:paraId="61754283" w14:textId="2D6272F0" w:rsidR="0005339F" w:rsidRPr="00115085" w:rsidRDefault="0005339F" w:rsidP="00D755F6">
      <w:pPr>
        <w:autoSpaceDE w:val="0"/>
        <w:autoSpaceDN w:val="0"/>
        <w:adjustRightInd w:val="0"/>
        <w:rPr>
          <w:color w:val="000000"/>
        </w:rPr>
      </w:pPr>
      <w:r w:rsidRPr="00115085">
        <w:rPr>
          <w:color w:val="000000"/>
        </w:rPr>
        <w:t xml:space="preserve">All areas within Manchester Metropolitan University where </w:t>
      </w:r>
      <w:r w:rsidR="00D755F6">
        <w:rPr>
          <w:color w:val="000000"/>
        </w:rPr>
        <w:t>relevant material is</w:t>
      </w:r>
      <w:r w:rsidRPr="00115085">
        <w:rPr>
          <w:color w:val="000000"/>
        </w:rPr>
        <w:t xml:space="preserve"> used and stored. </w:t>
      </w:r>
    </w:p>
    <w:p w14:paraId="6A8591D3" w14:textId="77777777" w:rsidR="0005339F" w:rsidRPr="00115085" w:rsidRDefault="0005339F" w:rsidP="00D755F6">
      <w:pPr>
        <w:autoSpaceDE w:val="0"/>
        <w:autoSpaceDN w:val="0"/>
        <w:adjustRightInd w:val="0"/>
        <w:rPr>
          <w:b/>
          <w:bCs/>
          <w:color w:val="000000"/>
        </w:rPr>
      </w:pPr>
    </w:p>
    <w:p w14:paraId="21383D9F" w14:textId="77777777" w:rsidR="0005339F" w:rsidRPr="00115085" w:rsidRDefault="0005339F" w:rsidP="008001DC">
      <w:pPr>
        <w:pStyle w:val="Heading1"/>
      </w:pPr>
      <w:r w:rsidRPr="00115085">
        <w:lastRenderedPageBreak/>
        <w:t xml:space="preserve">Related SOPs </w:t>
      </w:r>
    </w:p>
    <w:p w14:paraId="32BD006A" w14:textId="57A41E4D" w:rsidR="008001DC" w:rsidRPr="00115085" w:rsidRDefault="00D755F6" w:rsidP="008001DC">
      <w:r>
        <w:t>SOPs MMU</w:t>
      </w:r>
      <w:r w:rsidR="0005339F" w:rsidRPr="00115085">
        <w:t>HTA</w:t>
      </w:r>
      <w:r w:rsidR="00CC0820">
        <w:t>_</w:t>
      </w:r>
      <w:r w:rsidR="0005339F" w:rsidRPr="00115085">
        <w:t xml:space="preserve">001 – </w:t>
      </w:r>
      <w:r>
        <w:t>MM</w:t>
      </w:r>
      <w:r w:rsidR="0005339F" w:rsidRPr="00115085">
        <w:t>UHTA</w:t>
      </w:r>
      <w:r w:rsidR="00CC0820">
        <w:t>_</w:t>
      </w:r>
      <w:r w:rsidR="0005339F" w:rsidRPr="00115085">
        <w:t>011 relating to the acquisition, storage, use and disposal of human tissue</w:t>
      </w:r>
      <w:r w:rsidR="00057CB7">
        <w:t>.</w:t>
      </w:r>
      <w:r w:rsidR="0005339F" w:rsidRPr="00115085">
        <w:t xml:space="preserve"> </w:t>
      </w:r>
    </w:p>
    <w:p w14:paraId="4E67485A" w14:textId="64ACC5F5" w:rsidR="0005339F" w:rsidRPr="001F730C" w:rsidRDefault="0005339F" w:rsidP="008001DC">
      <w:pPr>
        <w:pStyle w:val="Heading1"/>
      </w:pPr>
      <w:r w:rsidRPr="00115085">
        <w:t xml:space="preserve">Responsible Personnel </w:t>
      </w:r>
    </w:p>
    <w:p w14:paraId="6B4F8162" w14:textId="77777777" w:rsidR="0005339F" w:rsidRPr="008001DC" w:rsidRDefault="0005339F" w:rsidP="008001D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8001DC">
        <w:rPr>
          <w:color w:val="000000"/>
        </w:rPr>
        <w:t xml:space="preserve">Principal Investigators </w:t>
      </w:r>
    </w:p>
    <w:p w14:paraId="64237187" w14:textId="77777777" w:rsidR="0005339F" w:rsidRPr="008001DC" w:rsidRDefault="0005339F" w:rsidP="008001D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8001DC">
        <w:rPr>
          <w:color w:val="000000"/>
        </w:rPr>
        <w:t xml:space="preserve">Research Teams </w:t>
      </w:r>
    </w:p>
    <w:p w14:paraId="3EC73BA8" w14:textId="199D3737" w:rsidR="0005339F" w:rsidRPr="008001DC" w:rsidRDefault="0005339F" w:rsidP="008001D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8001DC">
        <w:rPr>
          <w:color w:val="000000"/>
        </w:rPr>
        <w:t>T</w:t>
      </w:r>
      <w:r w:rsidR="00057CB7" w:rsidRPr="008001DC">
        <w:rPr>
          <w:color w:val="000000"/>
        </w:rPr>
        <w:t>echnical staff</w:t>
      </w:r>
      <w:r w:rsidRPr="008001DC">
        <w:rPr>
          <w:color w:val="000000"/>
        </w:rPr>
        <w:t xml:space="preserve"> </w:t>
      </w:r>
    </w:p>
    <w:p w14:paraId="046E4BB6" w14:textId="77777777" w:rsidR="0005339F" w:rsidRPr="00115085" w:rsidRDefault="0005339F" w:rsidP="008001DC">
      <w:pPr>
        <w:pStyle w:val="Heading1"/>
      </w:pPr>
      <w:r w:rsidRPr="00115085">
        <w:t xml:space="preserve">Procedure </w:t>
      </w:r>
    </w:p>
    <w:p w14:paraId="165B3AD8" w14:textId="5BD2F106" w:rsidR="0005339F" w:rsidRPr="00115085" w:rsidRDefault="0005339F" w:rsidP="008001DC">
      <w:r w:rsidRPr="00115085">
        <w:t>It is the responsibility of Principal Investigators (PIs) to ensure that policies and procedures</w:t>
      </w:r>
      <w:r w:rsidR="00D755F6">
        <w:t xml:space="preserve"> are adhered to</w:t>
      </w:r>
      <w:r w:rsidRPr="00115085">
        <w:t xml:space="preserve">, </w:t>
      </w:r>
      <w:r w:rsidR="00D755F6">
        <w:t>and appropriate</w:t>
      </w:r>
      <w:r w:rsidRPr="00115085">
        <w:t xml:space="preserve"> risk assessment</w:t>
      </w:r>
      <w:r w:rsidR="00D755F6">
        <w:t>s</w:t>
      </w:r>
      <w:r w:rsidRPr="00115085">
        <w:t xml:space="preserve"> are developed for the cleaning and decontamination of areas where human tissue is used and stored. </w:t>
      </w:r>
    </w:p>
    <w:p w14:paraId="44ED2D03" w14:textId="77777777" w:rsidR="00265F71" w:rsidRPr="00115085" w:rsidRDefault="00265F71" w:rsidP="008001DC"/>
    <w:p w14:paraId="7A6BE7DC" w14:textId="5C897706" w:rsidR="0005339F" w:rsidRPr="00115085" w:rsidRDefault="0005339F" w:rsidP="008001DC">
      <w:r w:rsidRPr="00115085">
        <w:t>These policies and procedures should comply with established good practice in the handling of biological samples. Additionally</w:t>
      </w:r>
      <w:r w:rsidR="006F6F80">
        <w:t>,</w:t>
      </w:r>
      <w:r w:rsidRPr="00115085">
        <w:t xml:space="preserve"> it is the responsibility of PIs</w:t>
      </w:r>
      <w:r w:rsidR="00057CB7">
        <w:t xml:space="preserve"> and technical support staff</w:t>
      </w:r>
      <w:r w:rsidRPr="00115085">
        <w:t xml:space="preserve"> to ensure that appropriate personal protective equipment is available in areas where human tissue is used and stored. </w:t>
      </w:r>
    </w:p>
    <w:p w14:paraId="18AAD0EB" w14:textId="77777777" w:rsidR="00265F71" w:rsidRPr="00115085" w:rsidRDefault="00265F71" w:rsidP="008001DC"/>
    <w:p w14:paraId="55970B25" w14:textId="45866314" w:rsidR="0005339F" w:rsidRPr="00115085" w:rsidRDefault="002F1642" w:rsidP="008001DC">
      <w:r w:rsidRPr="00115085">
        <w:t>Trained laboratory staff should undertake decontamination of areas where spillage has occurred</w:t>
      </w:r>
      <w:r w:rsidR="00265F71" w:rsidRPr="00115085">
        <w:t>.</w:t>
      </w:r>
      <w:r w:rsidR="00D755F6">
        <w:t xml:space="preserve"> </w:t>
      </w:r>
      <w:r w:rsidR="0005339F" w:rsidRPr="00115085">
        <w:t>Routine cleaning will be undertaken in accordance with written local</w:t>
      </w:r>
      <w:r w:rsidR="00D755F6">
        <w:t xml:space="preserve"> </w:t>
      </w:r>
      <w:r w:rsidR="00057CB7">
        <w:t>SOPs</w:t>
      </w:r>
      <w:r w:rsidR="00D755F6">
        <w:t xml:space="preserve">. </w:t>
      </w:r>
      <w:r w:rsidR="0005339F" w:rsidRPr="00115085">
        <w:t>Spilled and contaminated material should be separated and contained using disposable items of eq</w:t>
      </w:r>
      <w:r w:rsidR="00D755F6">
        <w:t>uipment that may be autoclaved.</w:t>
      </w:r>
    </w:p>
    <w:p w14:paraId="1E93713F" w14:textId="77777777" w:rsidR="00265F71" w:rsidRPr="00115085" w:rsidRDefault="00265F71" w:rsidP="008001DC"/>
    <w:p w14:paraId="196C3975" w14:textId="0751939D" w:rsidR="0005339F" w:rsidRPr="00115085" w:rsidRDefault="0005339F" w:rsidP="008001DC">
      <w:r w:rsidRPr="00115085">
        <w:t>To avoid cross contamination contaminated/infected material should be double sealed, labelled with appropriate hazard warning labels and taken to the autoclave unit for separate autoclaving. If appropriate, disposal should then be undertaken</w:t>
      </w:r>
      <w:r w:rsidR="002F1642" w:rsidRPr="00115085">
        <w:t xml:space="preserve"> in accordance with SOP</w:t>
      </w:r>
      <w:r w:rsidR="00D755F6">
        <w:t xml:space="preserve"> MMUHTA-007 (</w:t>
      </w:r>
      <w:r w:rsidRPr="00115085">
        <w:t>Disposal of Human Tissue</w:t>
      </w:r>
      <w:r w:rsidR="00D755F6">
        <w:t>)</w:t>
      </w:r>
      <w:r w:rsidRPr="00115085">
        <w:t xml:space="preserve">. </w:t>
      </w:r>
    </w:p>
    <w:p w14:paraId="67E5007D" w14:textId="77777777" w:rsidR="0070406C" w:rsidRPr="00115085" w:rsidRDefault="0070406C" w:rsidP="00D755F6">
      <w:pPr>
        <w:autoSpaceDE w:val="0"/>
        <w:autoSpaceDN w:val="0"/>
        <w:adjustRightInd w:val="0"/>
        <w:rPr>
          <w:color w:val="000000"/>
        </w:rPr>
      </w:pPr>
    </w:p>
    <w:p w14:paraId="5750A415" w14:textId="77777777" w:rsidR="0005339F" w:rsidRPr="00115085" w:rsidRDefault="0005339F" w:rsidP="008001DC">
      <w:pPr>
        <w:pStyle w:val="Heading2"/>
      </w:pPr>
      <w:r w:rsidRPr="00115085">
        <w:t xml:space="preserve">Cleaning and decontamination of non-disposable equipment </w:t>
      </w:r>
    </w:p>
    <w:p w14:paraId="4BB3B051" w14:textId="3258FD5D" w:rsidR="0005339F" w:rsidRPr="00115085" w:rsidRDefault="0005339F" w:rsidP="008001DC">
      <w:r w:rsidRPr="00115085">
        <w:t xml:space="preserve">Non-disposable equipment used for studies on human tissue should be decontaminated according to </w:t>
      </w:r>
      <w:r w:rsidR="002F1642" w:rsidRPr="00115085">
        <w:t>manufacturer’s</w:t>
      </w:r>
      <w:r w:rsidRPr="00115085">
        <w:t xml:space="preserve"> instructions on completion of each procedure or experiment.</w:t>
      </w:r>
    </w:p>
    <w:p w14:paraId="477FE27A" w14:textId="77777777" w:rsidR="0070406C" w:rsidRPr="00115085" w:rsidRDefault="0070406C" w:rsidP="008001DC"/>
    <w:p w14:paraId="10202E00" w14:textId="6DA88F72" w:rsidR="0070406C" w:rsidRDefault="002F1642" w:rsidP="008001DC">
      <w:r>
        <w:t>The recommended</w:t>
      </w:r>
      <w:r w:rsidR="0070406C">
        <w:t xml:space="preserve"> </w:t>
      </w:r>
      <w:r w:rsidR="00E25225">
        <w:t>d</w:t>
      </w:r>
      <w:r w:rsidR="0070406C">
        <w:t xml:space="preserve">isinfectant for decontaminating surfaces, materials &amp; </w:t>
      </w:r>
      <w:r>
        <w:t xml:space="preserve">samples, which </w:t>
      </w:r>
      <w:r w:rsidR="00057CB7">
        <w:t>have been in contact with</w:t>
      </w:r>
      <w:r>
        <w:t xml:space="preserve"> </w:t>
      </w:r>
      <w:r w:rsidR="00057CB7">
        <w:t>h</w:t>
      </w:r>
      <w:r>
        <w:t>uman</w:t>
      </w:r>
      <w:r w:rsidR="00057CB7">
        <w:t xml:space="preserve"> tissue</w:t>
      </w:r>
      <w:r>
        <w:t>,</w:t>
      </w:r>
      <w:r w:rsidR="0070406C">
        <w:t xml:space="preserve"> is a </w:t>
      </w:r>
      <w:r w:rsidR="00C85C06">
        <w:t>1</w:t>
      </w:r>
      <w:r w:rsidR="0070406C">
        <w:t>% Virkon</w:t>
      </w:r>
      <w:r>
        <w:t>™</w:t>
      </w:r>
      <w:r w:rsidR="0070406C">
        <w:t xml:space="preserve"> solution</w:t>
      </w:r>
      <w:r w:rsidR="00057CB7">
        <w:t xml:space="preserve"> followed by cleaning with 70% IMS</w:t>
      </w:r>
      <w:r w:rsidR="0070406C">
        <w:t>.</w:t>
      </w:r>
      <w:r>
        <w:t xml:space="preserve"> </w:t>
      </w:r>
    </w:p>
    <w:p w14:paraId="52D494A2" w14:textId="4056F181" w:rsidR="001B0C3E" w:rsidRDefault="001B0C3E" w:rsidP="008001DC"/>
    <w:p w14:paraId="627BB5DB" w14:textId="7B03E42D" w:rsidR="001B0C3E" w:rsidRDefault="00E25225" w:rsidP="008001DC">
      <w:r>
        <w:t>Inducted and trained, technical</w:t>
      </w:r>
      <w:r w:rsidR="001B0C3E">
        <w:t xml:space="preserve"> services staff complete weekly spot checks for the John Dalton 3.05 storage facility. The spot checks are completed and signed off, a paper record kept in the room and every three months a digital copy is uploaded to the SharePoint, “Documents directory ‘Spot Checks 3.05a’”.</w:t>
      </w:r>
    </w:p>
    <w:p w14:paraId="767C143D" w14:textId="11215170" w:rsidR="001B0C3E" w:rsidRDefault="001B0C3E" w:rsidP="00D755F6"/>
    <w:p w14:paraId="3BDB9888" w14:textId="5CFD1FB5" w:rsidR="001B0C3E" w:rsidRDefault="001B0C3E" w:rsidP="008001DC">
      <w:r>
        <w:t xml:space="preserve">The spot check includes: </w:t>
      </w:r>
    </w:p>
    <w:p w14:paraId="463DF11B" w14:textId="37427955" w:rsidR="001B0C3E" w:rsidRDefault="001B0C3E" w:rsidP="008001DC">
      <w:pPr>
        <w:pStyle w:val="ListParagraph"/>
        <w:numPr>
          <w:ilvl w:val="0"/>
          <w:numId w:val="7"/>
        </w:numPr>
      </w:pPr>
      <w:r>
        <w:t>Card reader access / egress check</w:t>
      </w:r>
      <w:r w:rsidR="00E25225">
        <w:t>.</w:t>
      </w:r>
    </w:p>
    <w:p w14:paraId="6F2A97C1" w14:textId="0C358A39" w:rsidR="001B0C3E" w:rsidRDefault="001B0C3E" w:rsidP="008001DC">
      <w:pPr>
        <w:pStyle w:val="ListParagraph"/>
        <w:numPr>
          <w:ilvl w:val="0"/>
          <w:numId w:val="7"/>
        </w:numPr>
      </w:pPr>
      <w:r>
        <w:t xml:space="preserve">Room </w:t>
      </w:r>
      <w:r w:rsidR="00E25225">
        <w:t>t</w:t>
      </w:r>
      <w:r>
        <w:t>emperature check</w:t>
      </w:r>
      <w:r w:rsidR="00E25225">
        <w:t>.</w:t>
      </w:r>
    </w:p>
    <w:p w14:paraId="36E67B81" w14:textId="7D046619" w:rsidR="001B0C3E" w:rsidRDefault="001B0C3E" w:rsidP="008001DC">
      <w:pPr>
        <w:pStyle w:val="ListParagraph"/>
        <w:numPr>
          <w:ilvl w:val="0"/>
          <w:numId w:val="7"/>
        </w:numPr>
      </w:pPr>
      <w:r>
        <w:t xml:space="preserve">Freezer </w:t>
      </w:r>
      <w:r w:rsidR="00E25225">
        <w:t>t</w:t>
      </w:r>
      <w:r>
        <w:t>emperature check</w:t>
      </w:r>
      <w:r w:rsidR="00E25225">
        <w:t>.</w:t>
      </w:r>
    </w:p>
    <w:p w14:paraId="229ECDAB" w14:textId="2CCDD288" w:rsidR="001B0C3E" w:rsidRDefault="001B0C3E" w:rsidP="008001DC">
      <w:pPr>
        <w:pStyle w:val="ListParagraph"/>
        <w:numPr>
          <w:ilvl w:val="0"/>
          <w:numId w:val="7"/>
        </w:numPr>
      </w:pPr>
      <w:r>
        <w:t>Room lighting check</w:t>
      </w:r>
      <w:r w:rsidR="00E25225">
        <w:t>.</w:t>
      </w:r>
    </w:p>
    <w:p w14:paraId="0428DE49" w14:textId="0B542CAC" w:rsidR="001B0C3E" w:rsidRDefault="001B0C3E" w:rsidP="008001DC">
      <w:pPr>
        <w:pStyle w:val="ListParagraph"/>
        <w:numPr>
          <w:ilvl w:val="0"/>
          <w:numId w:val="7"/>
        </w:numPr>
      </w:pPr>
      <w:r>
        <w:t>Freezers</w:t>
      </w:r>
      <w:r w:rsidR="00E40F3E">
        <w:t xml:space="preserve">, </w:t>
      </w:r>
      <w:r w:rsidR="00E25225">
        <w:t>c</w:t>
      </w:r>
      <w:r w:rsidR="00E40F3E">
        <w:t xml:space="preserve">abinets &amp; </w:t>
      </w:r>
      <w:r w:rsidR="00E25225">
        <w:t>c</w:t>
      </w:r>
      <w:r w:rsidR="00E40F3E">
        <w:t>onsent d</w:t>
      </w:r>
      <w:r>
        <w:t xml:space="preserve">ocuments cupboard </w:t>
      </w:r>
      <w:r w:rsidR="00E40F3E">
        <w:t>locked</w:t>
      </w:r>
      <w:r w:rsidR="00E25225">
        <w:t>.</w:t>
      </w:r>
    </w:p>
    <w:p w14:paraId="2E2EA14F" w14:textId="6F127236" w:rsidR="00E40F3E" w:rsidRDefault="00E40F3E" w:rsidP="008001DC">
      <w:pPr>
        <w:pStyle w:val="ListParagraph"/>
        <w:numPr>
          <w:ilvl w:val="0"/>
          <w:numId w:val="7"/>
        </w:numPr>
      </w:pPr>
      <w:r>
        <w:t>Freezer key cabinet combination lock secured</w:t>
      </w:r>
      <w:r w:rsidR="00E25225">
        <w:t>.</w:t>
      </w:r>
    </w:p>
    <w:p w14:paraId="720882FC" w14:textId="64C3CAD8" w:rsidR="00E40F3E" w:rsidRDefault="00E40F3E" w:rsidP="008001DC">
      <w:pPr>
        <w:pStyle w:val="ListParagraph"/>
        <w:numPr>
          <w:ilvl w:val="0"/>
          <w:numId w:val="7"/>
        </w:numPr>
      </w:pPr>
      <w:r>
        <w:t>Extension leads located in room (used for emergency power).</w:t>
      </w:r>
    </w:p>
    <w:p w14:paraId="4649A82C" w14:textId="4D536360" w:rsidR="00E40F3E" w:rsidRDefault="00E40F3E" w:rsidP="008001DC">
      <w:pPr>
        <w:pStyle w:val="ListParagraph"/>
        <w:numPr>
          <w:ilvl w:val="0"/>
          <w:numId w:val="7"/>
        </w:numPr>
      </w:pPr>
      <w:r>
        <w:t>SOP’s &amp; Risk assessments folder in the room.</w:t>
      </w:r>
    </w:p>
    <w:p w14:paraId="13183D75" w14:textId="3E61A7DB" w:rsidR="00E40F3E" w:rsidRDefault="00E40F3E" w:rsidP="008001DC">
      <w:pPr>
        <w:pStyle w:val="ListParagraph"/>
        <w:numPr>
          <w:ilvl w:val="0"/>
          <w:numId w:val="7"/>
        </w:numPr>
      </w:pPr>
      <w:r>
        <w:t>PPE available (gloves, safety glasses, lab coats)</w:t>
      </w:r>
      <w:r w:rsidR="00E25225">
        <w:t>.</w:t>
      </w:r>
    </w:p>
    <w:p w14:paraId="3ECFFEE4" w14:textId="0559670F" w:rsidR="00E40F3E" w:rsidRDefault="00E40F3E" w:rsidP="008001DC">
      <w:pPr>
        <w:pStyle w:val="ListParagraph"/>
        <w:numPr>
          <w:ilvl w:val="0"/>
          <w:numId w:val="7"/>
        </w:numPr>
      </w:pPr>
      <w:r>
        <w:t>Laminated sheets showing HT licence / Freezer storage / hazard signs.</w:t>
      </w:r>
    </w:p>
    <w:p w14:paraId="51D35562" w14:textId="43714D7B" w:rsidR="00E40F3E" w:rsidRDefault="00E25225" w:rsidP="008001DC">
      <w:pPr>
        <w:pStyle w:val="ListParagraph"/>
        <w:numPr>
          <w:ilvl w:val="0"/>
          <w:numId w:val="7"/>
        </w:numPr>
      </w:pPr>
      <w:r>
        <w:lastRenderedPageBreak/>
        <w:t>Freezers</w:t>
      </w:r>
      <w:r w:rsidR="00E40F3E">
        <w:t xml:space="preserve"> defrost check</w:t>
      </w:r>
      <w:r>
        <w:t>.</w:t>
      </w:r>
    </w:p>
    <w:p w14:paraId="70846FFF" w14:textId="59FCA6C8" w:rsidR="00E40F3E" w:rsidRDefault="00E40F3E" w:rsidP="00E40F3E"/>
    <w:p w14:paraId="16CF97CD" w14:textId="1BBBDC9B" w:rsidR="00E40F3E" w:rsidRDefault="00E40F3E" w:rsidP="00B61BE8">
      <w:pPr>
        <w:pStyle w:val="Heading2"/>
      </w:pPr>
      <w:r w:rsidRPr="00E40F3E">
        <w:t>Weekly decontamination</w:t>
      </w:r>
      <w:r>
        <w:t xml:space="preserve">: </w:t>
      </w:r>
    </w:p>
    <w:p w14:paraId="34FF4839" w14:textId="77777777" w:rsidR="00E40F3E" w:rsidRDefault="00E40F3E" w:rsidP="00E40F3E">
      <w:pPr>
        <w:pStyle w:val="ListParagraph"/>
      </w:pPr>
    </w:p>
    <w:p w14:paraId="41E2E885" w14:textId="2FB92FC4" w:rsidR="00E40F3E" w:rsidRDefault="00E40F3E" w:rsidP="00B61BE8">
      <w:pPr>
        <w:pStyle w:val="ListParagraph"/>
        <w:numPr>
          <w:ilvl w:val="0"/>
          <w:numId w:val="8"/>
        </w:numPr>
      </w:pPr>
      <w:r>
        <w:t xml:space="preserve">All freezer surfaces / handles in JD 3.05a are decontaminated using 1% Virkon™ solution followed by cleaning with 70% </w:t>
      </w:r>
      <w:r w:rsidR="008E12F4">
        <w:t>Industrial Methylated Spirits</w:t>
      </w:r>
      <w:r>
        <w:t>.</w:t>
      </w:r>
    </w:p>
    <w:p w14:paraId="2D9B30B9" w14:textId="51F08A75" w:rsidR="00E40F3E" w:rsidRDefault="00E40F3E" w:rsidP="00B61BE8">
      <w:pPr>
        <w:pStyle w:val="ListParagraph"/>
        <w:numPr>
          <w:ilvl w:val="0"/>
          <w:numId w:val="8"/>
        </w:numPr>
      </w:pPr>
      <w:r>
        <w:t>Floor surface is cleaned weekly using industrial cleaner.</w:t>
      </w:r>
    </w:p>
    <w:p w14:paraId="13FC8120" w14:textId="05ADC3AD" w:rsidR="00E40F3E" w:rsidRDefault="00E40F3E" w:rsidP="00B61BE8">
      <w:pPr>
        <w:pStyle w:val="ListParagraph"/>
        <w:numPr>
          <w:ilvl w:val="0"/>
          <w:numId w:val="8"/>
        </w:numPr>
      </w:pPr>
      <w:r>
        <w:t>All sinks &amp; surfaces are cleaned weekly</w:t>
      </w:r>
      <w:r w:rsidR="00E25225">
        <w:t xml:space="preserve"> using industrial cleaner.</w:t>
      </w:r>
    </w:p>
    <w:p w14:paraId="13598703" w14:textId="77777777" w:rsidR="00E40F3E" w:rsidRDefault="00E40F3E" w:rsidP="00E40F3E">
      <w:pPr>
        <w:pStyle w:val="ListParagraph"/>
      </w:pPr>
    </w:p>
    <w:p w14:paraId="65C3607D" w14:textId="110AF609" w:rsidR="00E40F3E" w:rsidRDefault="00E40F3E" w:rsidP="00B61BE8">
      <w:pPr>
        <w:pStyle w:val="Heading2"/>
      </w:pPr>
      <w:r w:rsidRPr="00E40F3E">
        <w:t>Defrosting routine</w:t>
      </w:r>
      <w:r>
        <w:t xml:space="preserve">: </w:t>
      </w:r>
    </w:p>
    <w:p w14:paraId="6D7A2448" w14:textId="6C4ED3D4" w:rsidR="00E25225" w:rsidRDefault="00E40F3E" w:rsidP="00B61BE8">
      <w:pPr>
        <w:pStyle w:val="ListParagraph"/>
        <w:numPr>
          <w:ilvl w:val="0"/>
          <w:numId w:val="9"/>
        </w:numPr>
      </w:pPr>
      <w:r>
        <w:t xml:space="preserve">The freezers are monitored weekly for excessive ice build-up. A thorough defrost is completed in line with our freezer annual </w:t>
      </w:r>
      <w:r w:rsidR="00E25225">
        <w:t>service unless</w:t>
      </w:r>
      <w:r>
        <w:t xml:space="preserve"> freezers are flagged as having excessive ice in </w:t>
      </w:r>
      <w:r w:rsidR="00E25225">
        <w:t xml:space="preserve">the period between </w:t>
      </w:r>
      <w:r>
        <w:t>annual service</w:t>
      </w:r>
      <w:r w:rsidR="00E25225">
        <w:t>s</w:t>
      </w:r>
      <w:r>
        <w:t>.</w:t>
      </w:r>
    </w:p>
    <w:p w14:paraId="02833EC6" w14:textId="77777777" w:rsidR="00E40F3E" w:rsidRDefault="00E40F3E" w:rsidP="00E40F3E">
      <w:pPr>
        <w:pStyle w:val="ListParagraph"/>
      </w:pPr>
    </w:p>
    <w:p w14:paraId="5F08754B" w14:textId="6EFBCC3E" w:rsidR="2D05FE0A" w:rsidRDefault="2D05FE0A" w:rsidP="2D05FE0A"/>
    <w:p w14:paraId="68E7753B" w14:textId="77777777" w:rsidR="00B61BE8" w:rsidRDefault="00B61BE8" w:rsidP="2D05FE0A"/>
    <w:p w14:paraId="5B9EF25C" w14:textId="77777777" w:rsidR="00B61BE8" w:rsidRDefault="00B61BE8" w:rsidP="2D05FE0A"/>
    <w:p w14:paraId="3E5AD5CA" w14:textId="77777777" w:rsidR="00B61BE8" w:rsidRDefault="00B61BE8" w:rsidP="2D05FE0A"/>
    <w:p w14:paraId="4DCF74B1" w14:textId="77777777" w:rsidR="00B61BE8" w:rsidRDefault="00B61BE8" w:rsidP="2D05FE0A"/>
    <w:p w14:paraId="1E345E99" w14:textId="77777777" w:rsidR="00B61BE8" w:rsidRDefault="00B61BE8" w:rsidP="2D05FE0A"/>
    <w:p w14:paraId="42C9635D" w14:textId="77777777" w:rsidR="00B61BE8" w:rsidRDefault="00B61BE8" w:rsidP="2D05FE0A"/>
    <w:p w14:paraId="68F14B89" w14:textId="77777777" w:rsidR="00B61BE8" w:rsidRDefault="00B61BE8" w:rsidP="2D05FE0A"/>
    <w:p w14:paraId="71E14F04" w14:textId="77777777" w:rsidR="00B61BE8" w:rsidRDefault="00B61BE8" w:rsidP="2D05FE0A"/>
    <w:p w14:paraId="77B7B2FD" w14:textId="77777777" w:rsidR="00B61BE8" w:rsidRDefault="00B61BE8" w:rsidP="2D05FE0A"/>
    <w:p w14:paraId="75A37D48" w14:textId="77777777" w:rsidR="00B61BE8" w:rsidRDefault="00B61BE8" w:rsidP="2D05FE0A"/>
    <w:p w14:paraId="4C41DAB0" w14:textId="77777777" w:rsidR="00B61BE8" w:rsidRDefault="00B61BE8" w:rsidP="2D05FE0A"/>
    <w:p w14:paraId="6C89B9DA" w14:textId="77777777" w:rsidR="00B61BE8" w:rsidRDefault="00B61BE8" w:rsidP="2D05FE0A"/>
    <w:p w14:paraId="2ECF5A99" w14:textId="77777777" w:rsidR="00B61BE8" w:rsidRDefault="00B61BE8" w:rsidP="2D05FE0A"/>
    <w:p w14:paraId="42397DAA" w14:textId="77777777" w:rsidR="00B61BE8" w:rsidRDefault="00B61BE8" w:rsidP="2D05FE0A"/>
    <w:p w14:paraId="5E4C2E8B" w14:textId="77777777" w:rsidR="00B61BE8" w:rsidRDefault="00B61BE8" w:rsidP="2D05FE0A"/>
    <w:p w14:paraId="10BEFF9B" w14:textId="77777777" w:rsidR="00B61BE8" w:rsidRDefault="00B61BE8" w:rsidP="2D05FE0A"/>
    <w:p w14:paraId="3714EFE1" w14:textId="77777777" w:rsidR="00B61BE8" w:rsidRDefault="00B61BE8" w:rsidP="2D05FE0A"/>
    <w:p w14:paraId="6998D1E2" w14:textId="77777777" w:rsidR="00B61BE8" w:rsidRDefault="00B61BE8" w:rsidP="2D05FE0A"/>
    <w:p w14:paraId="18A194ED" w14:textId="77777777" w:rsidR="00B61BE8" w:rsidRDefault="00B61BE8" w:rsidP="2D05FE0A"/>
    <w:p w14:paraId="33FFE4E6" w14:textId="77777777" w:rsidR="00B61BE8" w:rsidRDefault="00B61BE8" w:rsidP="2D05FE0A"/>
    <w:p w14:paraId="5B3D349F" w14:textId="77777777" w:rsidR="00B61BE8" w:rsidRDefault="00B61BE8" w:rsidP="2D05FE0A"/>
    <w:p w14:paraId="0B67E6A6" w14:textId="77777777" w:rsidR="00B61BE8" w:rsidRDefault="00B61BE8" w:rsidP="2D05FE0A"/>
    <w:p w14:paraId="51B0E88C" w14:textId="77777777" w:rsidR="00B61BE8" w:rsidRDefault="00B61BE8" w:rsidP="2D05FE0A"/>
    <w:p w14:paraId="5584B4C4" w14:textId="77777777" w:rsidR="00B61BE8" w:rsidRDefault="00B61BE8" w:rsidP="2D05FE0A"/>
    <w:p w14:paraId="26B44EE5" w14:textId="77777777" w:rsidR="00B61BE8" w:rsidRDefault="00B61BE8" w:rsidP="2D05FE0A"/>
    <w:p w14:paraId="2D9A6E83" w14:textId="77777777" w:rsidR="00B61BE8" w:rsidRDefault="00B61BE8" w:rsidP="2D05FE0A"/>
    <w:p w14:paraId="2A1B6C39" w14:textId="77777777" w:rsidR="00B61BE8" w:rsidRDefault="00B61BE8" w:rsidP="2D05FE0A"/>
    <w:p w14:paraId="7EB2C72B" w14:textId="77777777" w:rsidR="00B61BE8" w:rsidRDefault="00B61BE8" w:rsidP="2D05FE0A"/>
    <w:p w14:paraId="3592F9C7" w14:textId="77777777" w:rsidR="00B61BE8" w:rsidRDefault="00B61BE8" w:rsidP="2D05FE0A"/>
    <w:p w14:paraId="77565886" w14:textId="77777777" w:rsidR="00B61BE8" w:rsidRDefault="00B61BE8" w:rsidP="2D05FE0A"/>
    <w:p w14:paraId="77BD598E" w14:textId="77777777" w:rsidR="00B61BE8" w:rsidRDefault="00B61BE8" w:rsidP="2D05FE0A"/>
    <w:p w14:paraId="3FFC4069" w14:textId="77777777" w:rsidR="00B61BE8" w:rsidRDefault="00B61BE8" w:rsidP="2D05FE0A"/>
    <w:p w14:paraId="6D25FD84" w14:textId="77777777" w:rsidR="00B61BE8" w:rsidRDefault="00B61BE8" w:rsidP="2D05FE0A"/>
    <w:p w14:paraId="523D2040" w14:textId="77777777" w:rsidR="00B61BE8" w:rsidRDefault="00B61BE8" w:rsidP="2D05FE0A"/>
    <w:p w14:paraId="5A2E0A6E" w14:textId="77777777" w:rsidR="00B61BE8" w:rsidRDefault="00B61BE8" w:rsidP="2D05FE0A"/>
    <w:p w14:paraId="13E78365" w14:textId="77777777" w:rsidR="00B61BE8" w:rsidRDefault="00B61BE8" w:rsidP="2D05FE0A"/>
    <w:p w14:paraId="19BE2060" w14:textId="77777777" w:rsidR="00B61BE8" w:rsidRDefault="00B61BE8" w:rsidP="2D05FE0A"/>
    <w:p w14:paraId="437E5CEB" w14:textId="0D9467B2" w:rsidR="4E544B75" w:rsidRDefault="4E544B75" w:rsidP="00B61BE8">
      <w:pPr>
        <w:pStyle w:val="Heading1"/>
      </w:pPr>
      <w:r w:rsidRPr="2D05FE0A">
        <w:lastRenderedPageBreak/>
        <w:t>Version Control</w:t>
      </w:r>
    </w:p>
    <w:p w14:paraId="7CB0C775" w14:textId="1C3C4F10" w:rsidR="2D05FE0A" w:rsidRDefault="2D05FE0A" w:rsidP="2D05FE0A">
      <w:pPr>
        <w:rPr>
          <w:b/>
          <w:bCs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138"/>
        <w:gridCol w:w="5945"/>
        <w:gridCol w:w="1933"/>
      </w:tblGrid>
      <w:tr w:rsidR="2D05FE0A" w14:paraId="7056249E" w14:textId="77777777" w:rsidTr="00B61BE8">
        <w:tc>
          <w:tcPr>
            <w:tcW w:w="631" w:type="pct"/>
            <w:shd w:val="clear" w:color="auto" w:fill="EEECE1" w:themeFill="background2"/>
            <w:vAlign w:val="center"/>
          </w:tcPr>
          <w:p w14:paraId="5348CAC8" w14:textId="3E9D0F87" w:rsidR="2D05FE0A" w:rsidRDefault="2D05FE0A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05FE0A">
              <w:rPr>
                <w:rFonts w:eastAsia="Arial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3297" w:type="pct"/>
            <w:shd w:val="clear" w:color="auto" w:fill="EEECE1" w:themeFill="background2"/>
            <w:vAlign w:val="center"/>
          </w:tcPr>
          <w:p w14:paraId="673A875F" w14:textId="2A6994C5" w:rsidR="2D05FE0A" w:rsidRDefault="2D05FE0A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05FE0A">
              <w:rPr>
                <w:rFonts w:eastAsia="Arial"/>
                <w:b/>
                <w:bCs/>
                <w:color w:val="000000" w:themeColor="text1"/>
              </w:rPr>
              <w:t>Reason for change</w:t>
            </w:r>
          </w:p>
        </w:tc>
        <w:tc>
          <w:tcPr>
            <w:tcW w:w="1072" w:type="pct"/>
            <w:shd w:val="clear" w:color="auto" w:fill="EEECE1" w:themeFill="background2"/>
            <w:vAlign w:val="center"/>
          </w:tcPr>
          <w:p w14:paraId="57F4C3CC" w14:textId="120476D0" w:rsidR="2D05FE0A" w:rsidRDefault="2D05FE0A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05FE0A">
              <w:rPr>
                <w:rFonts w:eastAsia="Arial"/>
                <w:b/>
                <w:bCs/>
                <w:color w:val="000000" w:themeColor="text1"/>
              </w:rPr>
              <w:t>Date</w:t>
            </w:r>
          </w:p>
        </w:tc>
      </w:tr>
      <w:tr w:rsidR="2D05FE0A" w14:paraId="57B2F4BC" w14:textId="77777777" w:rsidTr="00B61BE8">
        <w:tc>
          <w:tcPr>
            <w:tcW w:w="631" w:type="pct"/>
            <w:vAlign w:val="center"/>
          </w:tcPr>
          <w:p w14:paraId="350B63D0" w14:textId="036AC3BD" w:rsidR="72780A32" w:rsidRPr="001B0C3E" w:rsidRDefault="72780A32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1.0</w:t>
            </w:r>
          </w:p>
        </w:tc>
        <w:tc>
          <w:tcPr>
            <w:tcW w:w="3297" w:type="pct"/>
            <w:vAlign w:val="center"/>
          </w:tcPr>
          <w:p w14:paraId="47EE09C6" w14:textId="18A8F356" w:rsidR="72780A32" w:rsidRPr="001B0C3E" w:rsidRDefault="72780A32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N/A</w:t>
            </w:r>
          </w:p>
        </w:tc>
        <w:tc>
          <w:tcPr>
            <w:tcW w:w="1072" w:type="pct"/>
            <w:vAlign w:val="center"/>
          </w:tcPr>
          <w:p w14:paraId="40F35B02" w14:textId="055A6A6F" w:rsidR="72780A32" w:rsidRPr="001B0C3E" w:rsidRDefault="72780A32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1</w:t>
            </w:r>
            <w:r w:rsidR="7349D702" w:rsidRPr="001B0C3E">
              <w:rPr>
                <w:rFonts w:eastAsia="Arial"/>
                <w:color w:val="000000" w:themeColor="text1"/>
                <w:szCs w:val="22"/>
              </w:rPr>
              <w:t>4</w:t>
            </w:r>
            <w:r w:rsidRPr="001B0C3E">
              <w:rPr>
                <w:rFonts w:eastAsia="Arial"/>
                <w:color w:val="000000" w:themeColor="text1"/>
                <w:szCs w:val="22"/>
                <w:vertAlign w:val="superscript"/>
              </w:rPr>
              <w:t>th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June</w:t>
            </w:r>
            <w:r w:rsidR="00B61BE8">
              <w:rPr>
                <w:rFonts w:eastAsia="Arial"/>
                <w:color w:val="000000" w:themeColor="text1"/>
                <w:szCs w:val="22"/>
              </w:rPr>
              <w:t>,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2021</w:t>
            </w:r>
          </w:p>
        </w:tc>
      </w:tr>
      <w:tr w:rsidR="2D05FE0A" w14:paraId="7243E4AB" w14:textId="77777777" w:rsidTr="00B61BE8">
        <w:tc>
          <w:tcPr>
            <w:tcW w:w="631" w:type="pct"/>
            <w:vAlign w:val="center"/>
          </w:tcPr>
          <w:p w14:paraId="43EC03AB" w14:textId="7E2BA98C" w:rsidR="2D05FE0A" w:rsidRPr="001B0C3E" w:rsidRDefault="00405CD0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1.1</w:t>
            </w:r>
          </w:p>
        </w:tc>
        <w:tc>
          <w:tcPr>
            <w:tcW w:w="3297" w:type="pct"/>
            <w:vAlign w:val="center"/>
          </w:tcPr>
          <w:p w14:paraId="30B6758C" w14:textId="06B5CA39" w:rsidR="2D05FE0A" w:rsidRPr="001B0C3E" w:rsidRDefault="00405CD0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A new SOP was added to the</w:t>
            </w:r>
            <w:r w:rsidR="00C23FCF" w:rsidRPr="001B0C3E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Pr="001B0C3E">
              <w:rPr>
                <w:rFonts w:eastAsia="Arial"/>
                <w:color w:val="000000" w:themeColor="text1"/>
                <w:szCs w:val="22"/>
              </w:rPr>
              <w:t>suite therefore writing changed to state ‘</w:t>
            </w:r>
            <w:r w:rsidRPr="001B0C3E">
              <w:rPr>
                <w:szCs w:val="22"/>
              </w:rPr>
              <w:t>SOPs (MMU-HTA001 – MMU-HTA016)’ rather than SOPs (MMU-HTA001 – MMU-HTA015)</w:t>
            </w:r>
          </w:p>
        </w:tc>
        <w:tc>
          <w:tcPr>
            <w:tcW w:w="1072" w:type="pct"/>
            <w:vAlign w:val="center"/>
          </w:tcPr>
          <w:p w14:paraId="500D9392" w14:textId="4D03D70D" w:rsidR="2D05FE0A" w:rsidRPr="001B0C3E" w:rsidRDefault="00405CD0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25</w:t>
            </w:r>
            <w:r w:rsidRPr="001B0C3E">
              <w:rPr>
                <w:rFonts w:eastAsia="Arial"/>
                <w:color w:val="000000" w:themeColor="text1"/>
                <w:szCs w:val="22"/>
                <w:vertAlign w:val="superscript"/>
              </w:rPr>
              <w:t>th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November</w:t>
            </w:r>
            <w:r w:rsidR="00B61BE8">
              <w:rPr>
                <w:rFonts w:eastAsia="Arial"/>
                <w:color w:val="000000" w:themeColor="text1"/>
                <w:szCs w:val="22"/>
              </w:rPr>
              <w:t>,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2022</w:t>
            </w:r>
          </w:p>
        </w:tc>
      </w:tr>
      <w:tr w:rsidR="2D05FE0A" w14:paraId="64DFF982" w14:textId="77777777" w:rsidTr="00B61BE8">
        <w:tc>
          <w:tcPr>
            <w:tcW w:w="631" w:type="pct"/>
            <w:vAlign w:val="center"/>
          </w:tcPr>
          <w:p w14:paraId="511DE1CF" w14:textId="4CFBA212" w:rsidR="2D05FE0A" w:rsidRPr="001B0C3E" w:rsidRDefault="00C23FCF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1.2</w:t>
            </w:r>
          </w:p>
        </w:tc>
        <w:tc>
          <w:tcPr>
            <w:tcW w:w="3297" w:type="pct"/>
            <w:vAlign w:val="center"/>
          </w:tcPr>
          <w:p w14:paraId="3DB85BBB" w14:textId="69966362" w:rsidR="00C23FCF" w:rsidRPr="001B0C3E" w:rsidRDefault="00C23FCF" w:rsidP="00B61BE8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1B0C3E">
              <w:rPr>
                <w:sz w:val="22"/>
                <w:szCs w:val="22"/>
              </w:rPr>
              <w:t>Changed writing to state ‘SOPs (MMU-HTA001 – MMU-HTA018)’ rather than SOPs (MMU-HTA001 – MMU-HTA016)</w:t>
            </w:r>
          </w:p>
          <w:p w14:paraId="1502670A" w14:textId="337D9F52" w:rsidR="2D05FE0A" w:rsidRPr="001B0C3E" w:rsidRDefault="2D05FE0A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1072" w:type="pct"/>
            <w:vAlign w:val="center"/>
          </w:tcPr>
          <w:p w14:paraId="7D948C73" w14:textId="7F32F60A" w:rsidR="2D05FE0A" w:rsidRPr="001B0C3E" w:rsidRDefault="00C23FCF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30</w:t>
            </w:r>
            <w:r w:rsidRPr="001B0C3E">
              <w:rPr>
                <w:rFonts w:eastAsia="Arial"/>
                <w:color w:val="000000" w:themeColor="text1"/>
                <w:szCs w:val="22"/>
                <w:vertAlign w:val="superscript"/>
              </w:rPr>
              <w:t>th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January</w:t>
            </w:r>
            <w:r w:rsidR="00B61BE8">
              <w:rPr>
                <w:rFonts w:eastAsia="Arial"/>
                <w:color w:val="000000" w:themeColor="text1"/>
                <w:szCs w:val="22"/>
              </w:rPr>
              <w:t>,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2023</w:t>
            </w:r>
          </w:p>
        </w:tc>
      </w:tr>
      <w:tr w:rsidR="2D05FE0A" w14:paraId="7B8A6ADA" w14:textId="77777777" w:rsidTr="00B61BE8">
        <w:tc>
          <w:tcPr>
            <w:tcW w:w="631" w:type="pct"/>
            <w:vAlign w:val="center"/>
          </w:tcPr>
          <w:p w14:paraId="33BED92A" w14:textId="3324FEE2" w:rsidR="2D05FE0A" w:rsidRPr="001B0C3E" w:rsidRDefault="001B0C3E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1.3</w:t>
            </w:r>
          </w:p>
        </w:tc>
        <w:tc>
          <w:tcPr>
            <w:tcW w:w="3297" w:type="pct"/>
            <w:vAlign w:val="center"/>
          </w:tcPr>
          <w:p w14:paraId="0674C447" w14:textId="42A4A743" w:rsidR="2D05FE0A" w:rsidRPr="001B0C3E" w:rsidRDefault="001B0C3E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 xml:space="preserve">SOP edited to include more detail for cleaning and decontamination </w:t>
            </w:r>
            <w:r>
              <w:rPr>
                <w:rFonts w:eastAsia="Arial"/>
                <w:color w:val="000000" w:themeColor="text1"/>
                <w:szCs w:val="22"/>
              </w:rPr>
              <w:t>for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the John Dalton 3</w:t>
            </w:r>
            <w:r w:rsidRPr="001B0C3E">
              <w:rPr>
                <w:rFonts w:eastAsia="Arial"/>
                <w:color w:val="000000" w:themeColor="text1"/>
                <w:szCs w:val="22"/>
                <w:vertAlign w:val="superscript"/>
              </w:rPr>
              <w:t>rd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floor storage facility</w:t>
            </w:r>
            <w:r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072" w:type="pct"/>
            <w:vAlign w:val="center"/>
          </w:tcPr>
          <w:p w14:paraId="021CDA60" w14:textId="2D0B1159" w:rsidR="2D05FE0A" w:rsidRPr="001B0C3E" w:rsidRDefault="001B0C3E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 w:rsidRPr="001B0C3E">
              <w:rPr>
                <w:rFonts w:eastAsia="Arial"/>
                <w:color w:val="000000" w:themeColor="text1"/>
                <w:szCs w:val="22"/>
              </w:rPr>
              <w:t>23</w:t>
            </w:r>
            <w:r w:rsidRPr="001B0C3E">
              <w:rPr>
                <w:rFonts w:eastAsia="Arial"/>
                <w:color w:val="000000" w:themeColor="text1"/>
                <w:szCs w:val="22"/>
                <w:vertAlign w:val="superscript"/>
              </w:rPr>
              <w:t>rd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00001FAF">
              <w:rPr>
                <w:rFonts w:eastAsia="Arial"/>
                <w:color w:val="000000" w:themeColor="text1"/>
                <w:szCs w:val="22"/>
              </w:rPr>
              <w:t>February</w:t>
            </w:r>
            <w:r w:rsidR="00B61BE8">
              <w:rPr>
                <w:rFonts w:eastAsia="Arial"/>
                <w:color w:val="000000" w:themeColor="text1"/>
                <w:szCs w:val="22"/>
              </w:rPr>
              <w:t>,</w:t>
            </w:r>
            <w:r w:rsidRPr="001B0C3E">
              <w:rPr>
                <w:rFonts w:eastAsia="Arial"/>
                <w:color w:val="000000" w:themeColor="text1"/>
                <w:szCs w:val="22"/>
              </w:rPr>
              <w:t xml:space="preserve"> 2023</w:t>
            </w:r>
          </w:p>
        </w:tc>
      </w:tr>
      <w:tr w:rsidR="00123743" w14:paraId="25A06D76" w14:textId="77777777" w:rsidTr="000E5BC0">
        <w:tc>
          <w:tcPr>
            <w:tcW w:w="631" w:type="pct"/>
            <w:vAlign w:val="center"/>
          </w:tcPr>
          <w:p w14:paraId="148D5620" w14:textId="1BE459D0" w:rsidR="00123743" w:rsidRPr="001B0C3E" w:rsidRDefault="00123743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</w:rPr>
              <w:t>1.4</w:t>
            </w:r>
          </w:p>
        </w:tc>
        <w:tc>
          <w:tcPr>
            <w:tcW w:w="3297" w:type="pct"/>
            <w:vAlign w:val="center"/>
          </w:tcPr>
          <w:p w14:paraId="05AE61E9" w14:textId="306ACBEF" w:rsidR="00123743" w:rsidRPr="001B0C3E" w:rsidRDefault="00123743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</w:rPr>
              <w:t>Author &amp; Reviewer fields added to title table + changed writing to state ‘SOPS (MMUHTA</w:t>
            </w:r>
            <w:r w:rsidR="00CC0820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001 – MMUHTA</w:t>
            </w:r>
            <w:r w:rsidR="00CC0820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019)’ rather than SOPs (MMU-HTA001 – MMU-HTA018)</w:t>
            </w:r>
            <w:r w:rsidR="00CC0820">
              <w:rPr>
                <w:rFonts w:eastAsia="Arial"/>
                <w:color w:val="000000" w:themeColor="text1"/>
              </w:rPr>
              <w:t xml:space="preserve"> + Minor grammatical &amp; formatting changes</w:t>
            </w:r>
          </w:p>
        </w:tc>
        <w:tc>
          <w:tcPr>
            <w:tcW w:w="1072" w:type="pct"/>
            <w:vAlign w:val="center"/>
          </w:tcPr>
          <w:p w14:paraId="43450D49" w14:textId="722CEA9B" w:rsidR="00123743" w:rsidRPr="001B0C3E" w:rsidRDefault="00CC0820" w:rsidP="00B61BE8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</w:rPr>
              <w:t>2</w:t>
            </w:r>
            <w:r w:rsidRPr="00CC0820">
              <w:rPr>
                <w:rFonts w:eastAsia="Arial"/>
                <w:color w:val="000000" w:themeColor="text1"/>
                <w:vertAlign w:val="superscript"/>
              </w:rPr>
              <w:t>nd</w:t>
            </w:r>
            <w:r w:rsidR="00123743">
              <w:rPr>
                <w:rFonts w:eastAsia="Arial"/>
                <w:color w:val="000000" w:themeColor="text1"/>
              </w:rPr>
              <w:t xml:space="preserve"> </w:t>
            </w:r>
            <w:r w:rsidR="00001FAF">
              <w:rPr>
                <w:rFonts w:eastAsia="Arial"/>
                <w:color w:val="000000" w:themeColor="text1"/>
              </w:rPr>
              <w:t>March</w:t>
            </w:r>
            <w:r w:rsidR="00B61BE8">
              <w:rPr>
                <w:rFonts w:eastAsia="Arial"/>
                <w:color w:val="000000" w:themeColor="text1"/>
              </w:rPr>
              <w:t>,</w:t>
            </w:r>
            <w:r w:rsidR="00123743">
              <w:rPr>
                <w:rFonts w:eastAsia="Arial"/>
                <w:color w:val="000000" w:themeColor="text1"/>
              </w:rPr>
              <w:t xml:space="preserve"> 2023</w:t>
            </w:r>
          </w:p>
        </w:tc>
      </w:tr>
    </w:tbl>
    <w:p w14:paraId="6A6E8EE6" w14:textId="6222A172" w:rsidR="2D05FE0A" w:rsidRDefault="2D05FE0A" w:rsidP="2D05FE0A">
      <w:pPr>
        <w:rPr>
          <w:b/>
          <w:bCs/>
        </w:rPr>
      </w:pPr>
    </w:p>
    <w:p w14:paraId="3D917B02" w14:textId="77777777" w:rsidR="0070406C" w:rsidRPr="00115085" w:rsidRDefault="0070406C" w:rsidP="00D755F6">
      <w:pPr>
        <w:pStyle w:val="Default"/>
        <w:jc w:val="both"/>
      </w:pPr>
    </w:p>
    <w:sectPr w:rsidR="0070406C" w:rsidRPr="00115085" w:rsidSect="005E5C50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E016" w14:textId="77777777" w:rsidR="00F76713" w:rsidRDefault="00F76713" w:rsidP="00D755F6">
      <w:r>
        <w:separator/>
      </w:r>
    </w:p>
  </w:endnote>
  <w:endnote w:type="continuationSeparator" w:id="0">
    <w:p w14:paraId="4C0ABD2E" w14:textId="77777777" w:rsidR="00F76713" w:rsidRDefault="00F76713" w:rsidP="00D755F6">
      <w:r>
        <w:continuationSeparator/>
      </w:r>
    </w:p>
  </w:endnote>
  <w:endnote w:type="continuationNotice" w:id="1">
    <w:p w14:paraId="07AC990A" w14:textId="77777777" w:rsidR="00F76713" w:rsidRDefault="00F76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1350" w14:textId="1A0874DC" w:rsidR="00D755F6" w:rsidRDefault="00C62AB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177E520" wp14:editId="509A87CC">
              <wp:simplePos x="0" y="0"/>
              <wp:positionH relativeFrom="column">
                <wp:posOffset>3239589</wp:posOffset>
              </wp:positionH>
              <wp:positionV relativeFrom="paragraph">
                <wp:posOffset>137251</wp:posOffset>
              </wp:positionV>
              <wp:extent cx="3376295" cy="53213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F6E8F" w14:textId="77777777" w:rsidR="00C62ABA" w:rsidRPr="00DC2D1E" w:rsidRDefault="00C62ABA" w:rsidP="00C62ABA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 w:rsidRPr="00DC2D1E">
                            <w:rPr>
                              <w:sz w:val="18"/>
                              <w:szCs w:val="18"/>
                            </w:rPr>
                            <w:t xml:space="preserve">Current only on day of printing </w:t>
                          </w:r>
                        </w:p>
                        <w:p w14:paraId="703121EA" w14:textId="77777777" w:rsidR="00C62ABA" w:rsidRDefault="00C62ABA" w:rsidP="00C62ABA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 w:rsidRPr="00DC2D1E">
                            <w:rPr>
                              <w:sz w:val="18"/>
                              <w:szCs w:val="18"/>
                            </w:rPr>
                            <w:t xml:space="preserve">Check the University website for most recent version </w:t>
                          </w:r>
                        </w:p>
                        <w:p w14:paraId="27EEF02A" w14:textId="232D24FD" w:rsidR="00C62ABA" w:rsidRPr="00DC2D1E" w:rsidRDefault="00C62ABA" w:rsidP="00C62ABA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V1.</w:t>
                          </w:r>
                          <w:r w:rsidR="002D4419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="00C2000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D4419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="002D4419" w:rsidRPr="002D4419">
                            <w:rPr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="002D441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001FAF">
                            <w:rPr>
                              <w:sz w:val="18"/>
                              <w:szCs w:val="18"/>
                            </w:rPr>
                            <w:t>March</w:t>
                          </w:r>
                          <w:r w:rsidR="001A4C5F">
                            <w:rPr>
                              <w:sz w:val="18"/>
                              <w:szCs w:val="1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7E5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.1pt;margin-top:10.8pt;width:265.85pt;height:4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" filled="f" stroked="f">
              <v:textbox>
                <w:txbxContent>
                  <w:p w14:paraId="07AF6E8F" w14:textId="77777777" w:rsidR="00C62ABA" w:rsidRPr="00DC2D1E" w:rsidRDefault="00C62ABA" w:rsidP="00C62ABA">
                    <w:pPr>
                      <w:ind w:left="851"/>
                      <w:rPr>
                        <w:sz w:val="18"/>
                        <w:szCs w:val="18"/>
                      </w:rPr>
                    </w:pPr>
                    <w:r w:rsidRPr="00DC2D1E">
                      <w:rPr>
                        <w:sz w:val="18"/>
                        <w:szCs w:val="18"/>
                      </w:rPr>
                      <w:t xml:space="preserve">Current only on day of printing </w:t>
                    </w:r>
                  </w:p>
                  <w:p w14:paraId="703121EA" w14:textId="77777777" w:rsidR="00C62ABA" w:rsidRDefault="00C62ABA" w:rsidP="00C62ABA">
                    <w:pPr>
                      <w:ind w:left="851"/>
                      <w:rPr>
                        <w:sz w:val="18"/>
                        <w:szCs w:val="18"/>
                      </w:rPr>
                    </w:pPr>
                    <w:r w:rsidRPr="00DC2D1E">
                      <w:rPr>
                        <w:sz w:val="18"/>
                        <w:szCs w:val="18"/>
                      </w:rPr>
                      <w:t xml:space="preserve">Check the University website for most recent version </w:t>
                    </w:r>
                  </w:p>
                  <w:p w14:paraId="27EEF02A" w14:textId="232D24FD" w:rsidR="00C62ABA" w:rsidRPr="00DC2D1E" w:rsidRDefault="00C62ABA" w:rsidP="00C62ABA">
                    <w:pPr>
                      <w:ind w:left="851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V1.</w:t>
                    </w:r>
                    <w:r w:rsidR="002D4419">
                      <w:rPr>
                        <w:sz w:val="18"/>
                        <w:szCs w:val="18"/>
                      </w:rPr>
                      <w:t>4</w:t>
                    </w:r>
                    <w:r w:rsidR="00C2000B">
                      <w:rPr>
                        <w:sz w:val="18"/>
                        <w:szCs w:val="18"/>
                      </w:rPr>
                      <w:t xml:space="preserve"> </w:t>
                    </w:r>
                    <w:r w:rsidR="002D4419">
                      <w:rPr>
                        <w:sz w:val="18"/>
                        <w:szCs w:val="18"/>
                      </w:rPr>
                      <w:t>2</w:t>
                    </w:r>
                    <w:r w:rsidR="002D4419" w:rsidRPr="002D4419">
                      <w:rPr>
                        <w:sz w:val="18"/>
                        <w:szCs w:val="18"/>
                        <w:vertAlign w:val="superscript"/>
                      </w:rPr>
                      <w:t>nd</w:t>
                    </w:r>
                    <w:r w:rsidR="002D4419">
                      <w:rPr>
                        <w:sz w:val="18"/>
                        <w:szCs w:val="18"/>
                      </w:rPr>
                      <w:t xml:space="preserve"> </w:t>
                    </w:r>
                    <w:r w:rsidR="00001FAF">
                      <w:rPr>
                        <w:sz w:val="18"/>
                        <w:szCs w:val="18"/>
                      </w:rPr>
                      <w:t>March</w:t>
                    </w:r>
                    <w:r w:rsidR="001A4C5F">
                      <w:rPr>
                        <w:sz w:val="18"/>
                        <w:szCs w:val="18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sdt>
      <w:sdtPr>
        <w:id w:val="8128353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755F6">
          <w:fldChar w:fldCharType="begin"/>
        </w:r>
        <w:r w:rsidR="00D755F6">
          <w:instrText xml:space="preserve"> PAGE   \* MERGEFORMAT </w:instrText>
        </w:r>
        <w:r w:rsidR="00D755F6">
          <w:fldChar w:fldCharType="separate"/>
        </w:r>
        <w:r w:rsidR="00057CB7" w:rsidRPr="00057CB7">
          <w:rPr>
            <w:b/>
            <w:bCs/>
            <w:noProof/>
          </w:rPr>
          <w:t>1</w:t>
        </w:r>
        <w:r w:rsidR="00D755F6">
          <w:rPr>
            <w:b/>
            <w:bCs/>
            <w:noProof/>
          </w:rPr>
          <w:fldChar w:fldCharType="end"/>
        </w:r>
        <w:r w:rsidR="00D755F6">
          <w:rPr>
            <w:b/>
            <w:bCs/>
          </w:rPr>
          <w:t xml:space="preserve"> | </w:t>
        </w:r>
        <w:r w:rsidR="00D755F6">
          <w:rPr>
            <w:color w:val="7F7F7F" w:themeColor="background1" w:themeShade="7F"/>
            <w:spacing w:val="60"/>
          </w:rPr>
          <w:t>Page</w:t>
        </w:r>
      </w:sdtContent>
    </w:sdt>
  </w:p>
  <w:p w14:paraId="07B5E83A" w14:textId="77777777" w:rsidR="00D755F6" w:rsidRDefault="00D7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38A3" w14:textId="77777777" w:rsidR="00F76713" w:rsidRDefault="00F76713" w:rsidP="00D755F6">
      <w:r>
        <w:separator/>
      </w:r>
    </w:p>
  </w:footnote>
  <w:footnote w:type="continuationSeparator" w:id="0">
    <w:p w14:paraId="28A5E48A" w14:textId="77777777" w:rsidR="00F76713" w:rsidRDefault="00F76713" w:rsidP="00D755F6">
      <w:r>
        <w:continuationSeparator/>
      </w:r>
    </w:p>
  </w:footnote>
  <w:footnote w:type="continuationNotice" w:id="1">
    <w:p w14:paraId="6E152B23" w14:textId="77777777" w:rsidR="00F76713" w:rsidRDefault="00F76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787" w14:textId="00B3E900" w:rsidR="00D755F6" w:rsidRPr="00D755F6" w:rsidRDefault="00D755F6">
    <w:pPr>
      <w:pStyle w:val="Header"/>
      <w:jc w:val="right"/>
      <w:rPr>
        <w:caps/>
      </w:rPr>
    </w:pPr>
  </w:p>
  <w:p w14:paraId="02364926" w14:textId="6723CD9D" w:rsidR="00D755F6" w:rsidRPr="00D755F6" w:rsidRDefault="00000000">
    <w:pPr>
      <w:pStyle w:val="Header"/>
      <w:jc w:val="center"/>
      <w:rPr>
        <w:b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DEA5CFD6CE53454FB2140A34DE3827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0C1E22">
          <w:rPr>
            <w:b/>
            <w:caps/>
            <w:sz w:val="28"/>
            <w:szCs w:val="28"/>
          </w:rPr>
          <w:t>MMUHTA</w:t>
        </w:r>
        <w:r w:rsidR="002D4419">
          <w:rPr>
            <w:b/>
            <w:caps/>
            <w:sz w:val="28"/>
            <w:szCs w:val="28"/>
          </w:rPr>
          <w:t>_</w:t>
        </w:r>
        <w:r w:rsidR="000C1E22">
          <w:rPr>
            <w:b/>
            <w:caps/>
            <w:sz w:val="28"/>
            <w:szCs w:val="28"/>
          </w:rPr>
          <w:t>005</w:t>
        </w:r>
      </w:sdtContent>
    </w:sdt>
  </w:p>
  <w:p w14:paraId="1F912011" w14:textId="77777777" w:rsidR="00D755F6" w:rsidRDefault="00D75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B27"/>
    <w:multiLevelType w:val="hybridMultilevel"/>
    <w:tmpl w:val="7C2E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8DB"/>
    <w:multiLevelType w:val="hybridMultilevel"/>
    <w:tmpl w:val="AEF8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166"/>
    <w:multiLevelType w:val="hybridMultilevel"/>
    <w:tmpl w:val="34364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12F63"/>
    <w:multiLevelType w:val="hybridMultilevel"/>
    <w:tmpl w:val="63A4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6564C"/>
    <w:multiLevelType w:val="hybridMultilevel"/>
    <w:tmpl w:val="3F2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6990"/>
    <w:multiLevelType w:val="hybridMultilevel"/>
    <w:tmpl w:val="2380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41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674759">
    <w:abstractNumId w:val="6"/>
  </w:num>
  <w:num w:numId="3" w16cid:durableId="1649506403">
    <w:abstractNumId w:val="4"/>
  </w:num>
  <w:num w:numId="4" w16cid:durableId="541022961">
    <w:abstractNumId w:val="2"/>
  </w:num>
  <w:num w:numId="5" w16cid:durableId="39282977">
    <w:abstractNumId w:val="5"/>
  </w:num>
  <w:num w:numId="6" w16cid:durableId="906114881">
    <w:abstractNumId w:val="0"/>
  </w:num>
  <w:num w:numId="7" w16cid:durableId="1560166867">
    <w:abstractNumId w:val="1"/>
  </w:num>
  <w:num w:numId="8" w16cid:durableId="391466535">
    <w:abstractNumId w:val="7"/>
  </w:num>
  <w:num w:numId="9" w16cid:durableId="1787967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75"/>
    <w:rsid w:val="00001FAF"/>
    <w:rsid w:val="00040ED2"/>
    <w:rsid w:val="0005339F"/>
    <w:rsid w:val="00057CB7"/>
    <w:rsid w:val="00060721"/>
    <w:rsid w:val="00073550"/>
    <w:rsid w:val="00075F30"/>
    <w:rsid w:val="00076126"/>
    <w:rsid w:val="0008353D"/>
    <w:rsid w:val="000927EA"/>
    <w:rsid w:val="00095487"/>
    <w:rsid w:val="000A7605"/>
    <w:rsid w:val="000B0AFF"/>
    <w:rsid w:val="000C1E22"/>
    <w:rsid w:val="000D0238"/>
    <w:rsid w:val="000D2E92"/>
    <w:rsid w:val="000D67D4"/>
    <w:rsid w:val="000E0D7A"/>
    <w:rsid w:val="000E5BC0"/>
    <w:rsid w:val="00110789"/>
    <w:rsid w:val="00115085"/>
    <w:rsid w:val="001213F9"/>
    <w:rsid w:val="00123743"/>
    <w:rsid w:val="00125A61"/>
    <w:rsid w:val="00127B6F"/>
    <w:rsid w:val="00171EF9"/>
    <w:rsid w:val="001A4C5F"/>
    <w:rsid w:val="001B0036"/>
    <w:rsid w:val="001B0C3E"/>
    <w:rsid w:val="001B4880"/>
    <w:rsid w:val="001C6321"/>
    <w:rsid w:val="001C7307"/>
    <w:rsid w:val="001D64C3"/>
    <w:rsid w:val="001E701F"/>
    <w:rsid w:val="001E7D4E"/>
    <w:rsid w:val="001F520E"/>
    <w:rsid w:val="001F730C"/>
    <w:rsid w:val="00265F71"/>
    <w:rsid w:val="002B0560"/>
    <w:rsid w:val="002C03A4"/>
    <w:rsid w:val="002C681F"/>
    <w:rsid w:val="002D4419"/>
    <w:rsid w:val="002E5A6F"/>
    <w:rsid w:val="002E7634"/>
    <w:rsid w:val="002F1642"/>
    <w:rsid w:val="00313E85"/>
    <w:rsid w:val="00316C5B"/>
    <w:rsid w:val="00334F54"/>
    <w:rsid w:val="003572BB"/>
    <w:rsid w:val="00383EB7"/>
    <w:rsid w:val="00405CD0"/>
    <w:rsid w:val="00437A56"/>
    <w:rsid w:val="00440988"/>
    <w:rsid w:val="004517ED"/>
    <w:rsid w:val="004522DD"/>
    <w:rsid w:val="00455ECD"/>
    <w:rsid w:val="004D6D6B"/>
    <w:rsid w:val="004D77BC"/>
    <w:rsid w:val="0058185A"/>
    <w:rsid w:val="005B1080"/>
    <w:rsid w:val="005E5C50"/>
    <w:rsid w:val="005E77BF"/>
    <w:rsid w:val="005F6D2E"/>
    <w:rsid w:val="006217AB"/>
    <w:rsid w:val="0063261D"/>
    <w:rsid w:val="00634BC2"/>
    <w:rsid w:val="006A365E"/>
    <w:rsid w:val="006C25BE"/>
    <w:rsid w:val="006C7155"/>
    <w:rsid w:val="006D5F36"/>
    <w:rsid w:val="006F6F80"/>
    <w:rsid w:val="0070406C"/>
    <w:rsid w:val="00755AC2"/>
    <w:rsid w:val="007565B3"/>
    <w:rsid w:val="00763E6D"/>
    <w:rsid w:val="007B7F2F"/>
    <w:rsid w:val="007D7A82"/>
    <w:rsid w:val="007E2076"/>
    <w:rsid w:val="008001DC"/>
    <w:rsid w:val="008212B3"/>
    <w:rsid w:val="00833245"/>
    <w:rsid w:val="00845EB9"/>
    <w:rsid w:val="00851701"/>
    <w:rsid w:val="00857901"/>
    <w:rsid w:val="008708FC"/>
    <w:rsid w:val="008D75C4"/>
    <w:rsid w:val="008E12F4"/>
    <w:rsid w:val="0091428D"/>
    <w:rsid w:val="009146A6"/>
    <w:rsid w:val="00963890"/>
    <w:rsid w:val="00964B71"/>
    <w:rsid w:val="009B50D3"/>
    <w:rsid w:val="009E6105"/>
    <w:rsid w:val="009F5F59"/>
    <w:rsid w:val="00A45E14"/>
    <w:rsid w:val="00A67283"/>
    <w:rsid w:val="00A67D3D"/>
    <w:rsid w:val="00A76975"/>
    <w:rsid w:val="00A80F31"/>
    <w:rsid w:val="00B2120B"/>
    <w:rsid w:val="00B51E3C"/>
    <w:rsid w:val="00B61BE8"/>
    <w:rsid w:val="00B64968"/>
    <w:rsid w:val="00B72CE9"/>
    <w:rsid w:val="00BB3DE8"/>
    <w:rsid w:val="00BC2901"/>
    <w:rsid w:val="00C167F9"/>
    <w:rsid w:val="00C2000B"/>
    <w:rsid w:val="00C23FCF"/>
    <w:rsid w:val="00C62ABA"/>
    <w:rsid w:val="00C85C06"/>
    <w:rsid w:val="00CA1539"/>
    <w:rsid w:val="00CC0820"/>
    <w:rsid w:val="00D20529"/>
    <w:rsid w:val="00D25688"/>
    <w:rsid w:val="00D449EC"/>
    <w:rsid w:val="00D5707F"/>
    <w:rsid w:val="00D755F6"/>
    <w:rsid w:val="00DD075F"/>
    <w:rsid w:val="00DF4C58"/>
    <w:rsid w:val="00DF6C97"/>
    <w:rsid w:val="00E02D48"/>
    <w:rsid w:val="00E25225"/>
    <w:rsid w:val="00E37AC9"/>
    <w:rsid w:val="00E40F3E"/>
    <w:rsid w:val="00EA5C4B"/>
    <w:rsid w:val="00EC5B1A"/>
    <w:rsid w:val="00EE5365"/>
    <w:rsid w:val="00F16D1B"/>
    <w:rsid w:val="00F503E8"/>
    <w:rsid w:val="00F76713"/>
    <w:rsid w:val="00F80411"/>
    <w:rsid w:val="00F913C5"/>
    <w:rsid w:val="00FC78DA"/>
    <w:rsid w:val="00FD0557"/>
    <w:rsid w:val="02417D04"/>
    <w:rsid w:val="03A09956"/>
    <w:rsid w:val="03AD03ED"/>
    <w:rsid w:val="04137599"/>
    <w:rsid w:val="06B8548B"/>
    <w:rsid w:val="0FA2A5E5"/>
    <w:rsid w:val="12971C85"/>
    <w:rsid w:val="135A59B8"/>
    <w:rsid w:val="1C27D9E6"/>
    <w:rsid w:val="1E714E81"/>
    <w:rsid w:val="2113BEFE"/>
    <w:rsid w:val="2B497B66"/>
    <w:rsid w:val="2D05FE0A"/>
    <w:rsid w:val="30B659C0"/>
    <w:rsid w:val="3D03205E"/>
    <w:rsid w:val="4392A3E8"/>
    <w:rsid w:val="452DF657"/>
    <w:rsid w:val="48C9622F"/>
    <w:rsid w:val="4BA6A7AC"/>
    <w:rsid w:val="4E544B75"/>
    <w:rsid w:val="5272600A"/>
    <w:rsid w:val="56599679"/>
    <w:rsid w:val="5A3E4A31"/>
    <w:rsid w:val="63B1F211"/>
    <w:rsid w:val="666CA795"/>
    <w:rsid w:val="680D8066"/>
    <w:rsid w:val="72780A32"/>
    <w:rsid w:val="7349D702"/>
    <w:rsid w:val="741FC8AC"/>
    <w:rsid w:val="7DAD8295"/>
    <w:rsid w:val="7F5E9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44EB74"/>
  <w15:docId w15:val="{C1E12FCD-BA41-4756-840B-E438F36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C50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C5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DC"/>
    <w:pPr>
      <w:keepNext/>
      <w:keepLines/>
      <w:spacing w:before="40"/>
      <w:outlineLvl w:val="1"/>
    </w:pPr>
    <w:rPr>
      <w:rFonts w:eastAsiaTheme="majorEastAsia" w:cstheme="majorBidi"/>
      <w:i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A7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character" w:customStyle="1" w:styleId="post-office-box">
    <w:name w:val="post-office-box"/>
    <w:basedOn w:val="DefaultParagraphFont"/>
    <w:rsid w:val="00F913C5"/>
  </w:style>
  <w:style w:type="character" w:customStyle="1" w:styleId="region">
    <w:name w:val="region"/>
    <w:basedOn w:val="DefaultParagraphFont"/>
    <w:rsid w:val="00F913C5"/>
  </w:style>
  <w:style w:type="character" w:styleId="Hyperlink">
    <w:name w:val="Hyperlink"/>
    <w:basedOn w:val="DefaultParagraphFont"/>
    <w:uiPriority w:val="99"/>
    <w:semiHidden/>
    <w:unhideWhenUsed/>
    <w:rsid w:val="00F913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9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449EC"/>
  </w:style>
  <w:style w:type="character" w:customStyle="1" w:styleId="CommentTextChar">
    <w:name w:val="Comment Text Char"/>
    <w:basedOn w:val="DefaultParagraphFont"/>
    <w:link w:val="CommentText"/>
    <w:uiPriority w:val="99"/>
    <w:rsid w:val="00D449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F6"/>
  </w:style>
  <w:style w:type="paragraph" w:styleId="Footer">
    <w:name w:val="footer"/>
    <w:basedOn w:val="Normal"/>
    <w:link w:val="FooterChar"/>
    <w:uiPriority w:val="99"/>
    <w:unhideWhenUsed/>
    <w:rsid w:val="00D75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5F6"/>
  </w:style>
  <w:style w:type="character" w:styleId="PlaceholderText">
    <w:name w:val="Placeholder Text"/>
    <w:basedOn w:val="DefaultParagraphFont"/>
    <w:uiPriority w:val="99"/>
    <w:semiHidden/>
    <w:rsid w:val="00D755F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57CB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353D"/>
  </w:style>
  <w:style w:type="character" w:customStyle="1" w:styleId="Heading1Char">
    <w:name w:val="Heading 1 Char"/>
    <w:basedOn w:val="DefaultParagraphFont"/>
    <w:link w:val="Heading1"/>
    <w:uiPriority w:val="9"/>
    <w:rsid w:val="005E5C50"/>
    <w:rPr>
      <w:rFonts w:eastAsiaTheme="majorEastAsia" w:cstheme="majorBidi"/>
      <w:b/>
      <w:szCs w:val="32"/>
    </w:rPr>
  </w:style>
  <w:style w:type="paragraph" w:styleId="NoSpacing">
    <w:name w:val="No Spacing"/>
    <w:uiPriority w:val="1"/>
    <w:qFormat/>
    <w:rsid w:val="008001DC"/>
    <w:pPr>
      <w:jc w:val="both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001DC"/>
    <w:rPr>
      <w:rFonts w:eastAsiaTheme="majorEastAsia" w:cstheme="majorBidi"/>
      <w:i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muintranet.mmu.ac.uk/ho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A5CFD6CE53454FB2140A34DE38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C705-49D0-46FC-B933-332978BF791A}"/>
      </w:docPartPr>
      <w:docPartBody>
        <w:p w:rsidR="00193F73" w:rsidRDefault="00A45E14" w:rsidP="00A45E14">
          <w:pPr>
            <w:pStyle w:val="DEA5CFD6CE53454FB2140A34DE38279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14"/>
    <w:rsid w:val="000E24D6"/>
    <w:rsid w:val="00193F73"/>
    <w:rsid w:val="002B49B7"/>
    <w:rsid w:val="004F1DBA"/>
    <w:rsid w:val="005F0B57"/>
    <w:rsid w:val="006365A1"/>
    <w:rsid w:val="00691D0A"/>
    <w:rsid w:val="009125BC"/>
    <w:rsid w:val="0096021A"/>
    <w:rsid w:val="009B0757"/>
    <w:rsid w:val="009C3852"/>
    <w:rsid w:val="00A45E14"/>
    <w:rsid w:val="00AA332B"/>
    <w:rsid w:val="00AC052A"/>
    <w:rsid w:val="00E41AC4"/>
    <w:rsid w:val="00EA0670"/>
    <w:rsid w:val="00F21864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E14"/>
    <w:rPr>
      <w:color w:val="808080"/>
    </w:rPr>
  </w:style>
  <w:style w:type="paragraph" w:customStyle="1" w:styleId="DEA5CFD6CE53454FB2140A34DE382792">
    <w:name w:val="DEA5CFD6CE53454FB2140A34DE382792"/>
    <w:rsid w:val="00A45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58551-D30D-4E2A-88A1-2AAB66657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BF7BF-3B00-4913-95AF-C1F97D85D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8ABE3-B894-4BB4-9D02-E30EEDF016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59F3BD-1ABA-4D57-A8E6-7C8481EE18DA}">
  <ds:schemaRefs>
    <ds:schemaRef ds:uri="http://schemas.microsoft.com/office/2006/metadata/properties"/>
    <ds:schemaRef ds:uri="http://schemas.microsoft.com/office/infopath/2007/PartnerControls"/>
    <ds:schemaRef ds:uri="08803ec0-b98c-4c78-af3f-fba87c723d74"/>
    <ds:schemaRef ds:uri="d8526990-09d6-408f-8dc5-982e7f8f20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MMU-HTA 005</vt:lpstr>
    </vt:vector>
  </TitlesOfParts>
  <Company>MMU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MMUHTA_005</dc:title>
  <dc:creator>mmu-user</dc:creator>
  <cp:lastModifiedBy>Liam Hanson</cp:lastModifiedBy>
  <cp:revision>23</cp:revision>
  <cp:lastPrinted>2019-12-12T12:57:00Z</cp:lastPrinted>
  <dcterms:created xsi:type="dcterms:W3CDTF">2023-02-23T13:19:00Z</dcterms:created>
  <dcterms:modified xsi:type="dcterms:W3CDTF">2023-03-02T16:46:00Z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