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31D5" w14:textId="25C46658" w:rsidR="002A4E28" w:rsidRDefault="0000545F" w:rsidP="1DB3A8F3">
      <w:pPr>
        <w:jc w:val="right"/>
        <w:rPr>
          <w:b/>
          <w:bCs/>
        </w:rPr>
      </w:pPr>
      <w:r>
        <w:rPr>
          <w:noProof/>
        </w:rPr>
        <w:drawing>
          <wp:inline distT="0" distB="0" distL="0" distR="0" wp14:anchorId="71DD0FB1" wp14:editId="1DB3A8F3">
            <wp:extent cx="1737360" cy="664845"/>
            <wp:effectExtent l="0" t="0" r="0" b="1905"/>
            <wp:docPr id="2106769337" name="Picture 30"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14:paraId="10529CDC" w14:textId="77777777" w:rsidR="002A4E28" w:rsidRDefault="002A4E28" w:rsidP="008E3A29">
      <w:pPr>
        <w:rPr>
          <w:b/>
          <w:bCs/>
        </w:rPr>
      </w:pPr>
    </w:p>
    <w:p w14:paraId="4C586DBA" w14:textId="77777777" w:rsidR="002A4E28" w:rsidRDefault="002A4E28" w:rsidP="008E3A29">
      <w:pPr>
        <w:rPr>
          <w:b/>
          <w:bCs/>
        </w:rPr>
      </w:pPr>
    </w:p>
    <w:p w14:paraId="0015FD19" w14:textId="2949B418" w:rsidR="008E3A29" w:rsidRDefault="008E3A29" w:rsidP="00B254BE">
      <w:pPr>
        <w:jc w:val="center"/>
        <w:rPr>
          <w:b/>
          <w:bCs/>
          <w:color w:val="FF0000"/>
        </w:rPr>
      </w:pPr>
      <w:r w:rsidRPr="002A4E28">
        <w:rPr>
          <w:b/>
          <w:bCs/>
          <w:sz w:val="28"/>
          <w:szCs w:val="28"/>
        </w:rPr>
        <w:t>STANDARD OPERATING PROCEDURE</w:t>
      </w:r>
    </w:p>
    <w:p w14:paraId="669B46CD" w14:textId="77777777" w:rsidR="008E3A29" w:rsidRPr="00C92953" w:rsidRDefault="008E3A29" w:rsidP="008E3A29">
      <w:pPr>
        <w:rPr>
          <w:b/>
          <w:bCs/>
          <w:color w:val="FF0000"/>
        </w:rPr>
      </w:pPr>
    </w:p>
    <w:tbl>
      <w:tblPr>
        <w:tblStyle w:val="TableGrid"/>
        <w:tblW w:w="5000" w:type="pct"/>
        <w:jc w:val="center"/>
        <w:tblLook w:val="04A0" w:firstRow="1" w:lastRow="0" w:firstColumn="1" w:lastColumn="0" w:noHBand="0" w:noVBand="1"/>
      </w:tblPr>
      <w:tblGrid>
        <w:gridCol w:w="4508"/>
        <w:gridCol w:w="4508"/>
      </w:tblGrid>
      <w:tr w:rsidR="008E3A29" w:rsidRPr="00B254BE" w14:paraId="52131DD7" w14:textId="77777777" w:rsidTr="00B95153">
        <w:trPr>
          <w:trHeight w:hRule="exact" w:val="648"/>
          <w:jc w:val="center"/>
        </w:trPr>
        <w:tc>
          <w:tcPr>
            <w:tcW w:w="2500" w:type="pct"/>
            <w:vAlign w:val="center"/>
          </w:tcPr>
          <w:p w14:paraId="6DF81271" w14:textId="77777777" w:rsidR="008E3A29" w:rsidRPr="00B254BE" w:rsidRDefault="008E3A29">
            <w:pPr>
              <w:jc w:val="center"/>
              <w:rPr>
                <w:b/>
                <w:bCs/>
                <w:sz w:val="24"/>
                <w:szCs w:val="28"/>
              </w:rPr>
            </w:pPr>
            <w:r w:rsidRPr="00B254BE">
              <w:rPr>
                <w:b/>
                <w:bCs/>
                <w:sz w:val="24"/>
                <w:szCs w:val="28"/>
              </w:rPr>
              <w:t>Reference Number</w:t>
            </w:r>
          </w:p>
        </w:tc>
        <w:tc>
          <w:tcPr>
            <w:tcW w:w="2500" w:type="pct"/>
            <w:vAlign w:val="center"/>
          </w:tcPr>
          <w:p w14:paraId="60E87D13" w14:textId="293DCE90" w:rsidR="008E3A29" w:rsidRPr="00B254BE" w:rsidRDefault="001E0B09">
            <w:pPr>
              <w:jc w:val="center"/>
              <w:rPr>
                <w:b/>
                <w:bCs/>
                <w:sz w:val="24"/>
                <w:szCs w:val="28"/>
              </w:rPr>
            </w:pPr>
            <w:r w:rsidRPr="00B254BE">
              <w:rPr>
                <w:b/>
                <w:bCs/>
                <w:sz w:val="24"/>
                <w:szCs w:val="28"/>
              </w:rPr>
              <w:t>MMUHTA</w:t>
            </w:r>
            <w:r w:rsidR="00540B14">
              <w:rPr>
                <w:b/>
                <w:bCs/>
                <w:sz w:val="24"/>
                <w:szCs w:val="28"/>
              </w:rPr>
              <w:t>_</w:t>
            </w:r>
            <w:r w:rsidRPr="00B254BE">
              <w:rPr>
                <w:b/>
                <w:bCs/>
                <w:sz w:val="24"/>
                <w:szCs w:val="28"/>
              </w:rPr>
              <w:t>008</w:t>
            </w:r>
          </w:p>
        </w:tc>
      </w:tr>
      <w:tr w:rsidR="00DE0B61" w:rsidRPr="00B254BE" w14:paraId="406545E8" w14:textId="77777777" w:rsidTr="00B95153">
        <w:trPr>
          <w:trHeight w:hRule="exact" w:val="648"/>
          <w:jc w:val="center"/>
        </w:trPr>
        <w:tc>
          <w:tcPr>
            <w:tcW w:w="2500" w:type="pct"/>
            <w:vAlign w:val="center"/>
          </w:tcPr>
          <w:p w14:paraId="20BCC127" w14:textId="3676F84D" w:rsidR="00DE0B61" w:rsidRPr="00B254BE" w:rsidRDefault="00DE0B61">
            <w:pPr>
              <w:jc w:val="center"/>
              <w:rPr>
                <w:b/>
                <w:bCs/>
                <w:sz w:val="24"/>
                <w:szCs w:val="28"/>
              </w:rPr>
            </w:pPr>
            <w:r w:rsidRPr="00B254BE">
              <w:rPr>
                <w:b/>
                <w:bCs/>
                <w:sz w:val="24"/>
                <w:szCs w:val="28"/>
              </w:rPr>
              <w:t>Title</w:t>
            </w:r>
          </w:p>
        </w:tc>
        <w:tc>
          <w:tcPr>
            <w:tcW w:w="2500" w:type="pct"/>
            <w:vAlign w:val="center"/>
          </w:tcPr>
          <w:p w14:paraId="044AB097" w14:textId="6FEB0F38" w:rsidR="00DE0B61" w:rsidRPr="00B254BE" w:rsidRDefault="00540B14" w:rsidP="009E0738">
            <w:pPr>
              <w:jc w:val="center"/>
              <w:rPr>
                <w:b/>
                <w:bCs/>
                <w:sz w:val="24"/>
                <w:szCs w:val="28"/>
              </w:rPr>
            </w:pPr>
            <w:r w:rsidRPr="00B254BE">
              <w:rPr>
                <w:b/>
                <w:bCs/>
                <w:sz w:val="24"/>
                <w:szCs w:val="28"/>
              </w:rPr>
              <w:t xml:space="preserve">Training </w:t>
            </w:r>
            <w:r>
              <w:rPr>
                <w:b/>
                <w:bCs/>
                <w:sz w:val="24"/>
                <w:szCs w:val="28"/>
              </w:rPr>
              <w:t>f</w:t>
            </w:r>
            <w:r w:rsidRPr="00B254BE">
              <w:rPr>
                <w:b/>
                <w:bCs/>
                <w:sz w:val="24"/>
                <w:szCs w:val="28"/>
              </w:rPr>
              <w:t>or H</w:t>
            </w:r>
            <w:r>
              <w:rPr>
                <w:b/>
                <w:bCs/>
                <w:sz w:val="24"/>
                <w:szCs w:val="28"/>
              </w:rPr>
              <w:t xml:space="preserve">TA </w:t>
            </w:r>
            <w:r w:rsidRPr="00B254BE">
              <w:rPr>
                <w:b/>
                <w:bCs/>
                <w:sz w:val="24"/>
                <w:szCs w:val="28"/>
              </w:rPr>
              <w:t>Compliance</w:t>
            </w:r>
          </w:p>
        </w:tc>
      </w:tr>
      <w:tr w:rsidR="00DE0B61" w:rsidRPr="00B254BE" w14:paraId="002BFBFE" w14:textId="77777777" w:rsidTr="00B95153">
        <w:trPr>
          <w:trHeight w:hRule="exact" w:val="648"/>
          <w:jc w:val="center"/>
        </w:trPr>
        <w:tc>
          <w:tcPr>
            <w:tcW w:w="2500" w:type="pct"/>
            <w:vAlign w:val="center"/>
          </w:tcPr>
          <w:p w14:paraId="426C9613" w14:textId="77777777" w:rsidR="00DE0B61" w:rsidRPr="00B254BE" w:rsidRDefault="00DE0B61" w:rsidP="00DE0B61">
            <w:pPr>
              <w:jc w:val="center"/>
              <w:rPr>
                <w:b/>
                <w:bCs/>
                <w:sz w:val="24"/>
                <w:szCs w:val="28"/>
              </w:rPr>
            </w:pPr>
            <w:r w:rsidRPr="00B254BE">
              <w:rPr>
                <w:b/>
                <w:bCs/>
                <w:sz w:val="24"/>
                <w:szCs w:val="28"/>
              </w:rPr>
              <w:t>Effective Date</w:t>
            </w:r>
          </w:p>
        </w:tc>
        <w:tc>
          <w:tcPr>
            <w:tcW w:w="2500" w:type="pct"/>
            <w:vAlign w:val="center"/>
          </w:tcPr>
          <w:p w14:paraId="5AC62FFE" w14:textId="65E0A88E" w:rsidR="00DE0B61" w:rsidRPr="00B254BE" w:rsidRDefault="001D2093" w:rsidP="00DE0B61">
            <w:pPr>
              <w:jc w:val="center"/>
              <w:rPr>
                <w:b/>
                <w:bCs/>
                <w:sz w:val="24"/>
                <w:szCs w:val="28"/>
              </w:rPr>
            </w:pPr>
            <w:r w:rsidRPr="00B254BE">
              <w:rPr>
                <w:b/>
                <w:bCs/>
                <w:sz w:val="24"/>
                <w:szCs w:val="28"/>
              </w:rPr>
              <w:t>19</w:t>
            </w:r>
            <w:r w:rsidRPr="00B254BE">
              <w:rPr>
                <w:b/>
                <w:bCs/>
                <w:sz w:val="24"/>
                <w:szCs w:val="28"/>
                <w:vertAlign w:val="superscript"/>
              </w:rPr>
              <w:t>th</w:t>
            </w:r>
            <w:r w:rsidRPr="00B254BE">
              <w:rPr>
                <w:b/>
                <w:bCs/>
                <w:sz w:val="24"/>
                <w:szCs w:val="28"/>
              </w:rPr>
              <w:t xml:space="preserve"> January 2023</w:t>
            </w:r>
          </w:p>
        </w:tc>
      </w:tr>
      <w:tr w:rsidR="00DE0B61" w:rsidRPr="00B254BE" w14:paraId="7E363082" w14:textId="77777777" w:rsidTr="00B95153">
        <w:trPr>
          <w:trHeight w:hRule="exact" w:val="648"/>
          <w:jc w:val="center"/>
        </w:trPr>
        <w:tc>
          <w:tcPr>
            <w:tcW w:w="2500" w:type="pct"/>
            <w:vAlign w:val="center"/>
          </w:tcPr>
          <w:p w14:paraId="326EF526" w14:textId="77777777" w:rsidR="00DE0B61" w:rsidRPr="00B254BE" w:rsidRDefault="00DE0B61" w:rsidP="00DE0B61">
            <w:pPr>
              <w:jc w:val="center"/>
              <w:rPr>
                <w:b/>
                <w:bCs/>
                <w:sz w:val="24"/>
                <w:szCs w:val="28"/>
              </w:rPr>
            </w:pPr>
            <w:r w:rsidRPr="00B254BE">
              <w:rPr>
                <w:b/>
                <w:bCs/>
                <w:sz w:val="24"/>
                <w:szCs w:val="28"/>
              </w:rPr>
              <w:t>Review Date</w:t>
            </w:r>
          </w:p>
        </w:tc>
        <w:tc>
          <w:tcPr>
            <w:tcW w:w="2500" w:type="pct"/>
            <w:vAlign w:val="center"/>
          </w:tcPr>
          <w:p w14:paraId="65BF7D48" w14:textId="7450B82A" w:rsidR="00DE0B61" w:rsidRPr="00B254BE" w:rsidRDefault="00540B14" w:rsidP="00301192">
            <w:pPr>
              <w:jc w:val="center"/>
              <w:rPr>
                <w:b/>
                <w:bCs/>
                <w:sz w:val="24"/>
                <w:szCs w:val="28"/>
              </w:rPr>
            </w:pPr>
            <w:r>
              <w:rPr>
                <w:b/>
                <w:bCs/>
                <w:sz w:val="24"/>
                <w:szCs w:val="28"/>
              </w:rPr>
              <w:t>2</w:t>
            </w:r>
            <w:r w:rsidRPr="00540B14">
              <w:rPr>
                <w:b/>
                <w:bCs/>
                <w:sz w:val="24"/>
                <w:szCs w:val="28"/>
                <w:vertAlign w:val="superscript"/>
              </w:rPr>
              <w:t>nd</w:t>
            </w:r>
            <w:r>
              <w:rPr>
                <w:b/>
                <w:bCs/>
                <w:sz w:val="24"/>
                <w:szCs w:val="28"/>
              </w:rPr>
              <w:t xml:space="preserve"> March 2025</w:t>
            </w:r>
          </w:p>
        </w:tc>
      </w:tr>
      <w:tr w:rsidR="008E3A29" w:rsidRPr="00B254BE" w14:paraId="4CDC34C4" w14:textId="77777777" w:rsidTr="00B95153">
        <w:trPr>
          <w:trHeight w:hRule="exact" w:val="648"/>
          <w:jc w:val="center"/>
        </w:trPr>
        <w:tc>
          <w:tcPr>
            <w:tcW w:w="2500" w:type="pct"/>
            <w:vAlign w:val="center"/>
          </w:tcPr>
          <w:p w14:paraId="7FEFE701" w14:textId="77777777" w:rsidR="008E3A29" w:rsidRPr="00B254BE" w:rsidRDefault="008E3A29">
            <w:pPr>
              <w:jc w:val="center"/>
              <w:rPr>
                <w:b/>
                <w:bCs/>
                <w:sz w:val="24"/>
                <w:szCs w:val="28"/>
              </w:rPr>
            </w:pPr>
            <w:r w:rsidRPr="00B254BE">
              <w:rPr>
                <w:b/>
                <w:bCs/>
                <w:sz w:val="24"/>
                <w:szCs w:val="28"/>
              </w:rPr>
              <w:t>Superseded Version Number &amp; date</w:t>
            </w:r>
          </w:p>
        </w:tc>
        <w:tc>
          <w:tcPr>
            <w:tcW w:w="2500" w:type="pct"/>
            <w:vAlign w:val="center"/>
          </w:tcPr>
          <w:p w14:paraId="317E1444" w14:textId="39FBE311" w:rsidR="008E3A29" w:rsidRPr="00B254BE" w:rsidRDefault="5D04CB10" w:rsidP="00DE0B61">
            <w:pPr>
              <w:jc w:val="center"/>
              <w:rPr>
                <w:b/>
                <w:bCs/>
                <w:sz w:val="24"/>
                <w:szCs w:val="28"/>
              </w:rPr>
            </w:pPr>
            <w:r w:rsidRPr="00B254BE">
              <w:rPr>
                <w:b/>
                <w:bCs/>
                <w:sz w:val="24"/>
                <w:szCs w:val="28"/>
              </w:rPr>
              <w:t>V1.</w:t>
            </w:r>
            <w:r w:rsidR="00540B14">
              <w:rPr>
                <w:b/>
                <w:bCs/>
                <w:sz w:val="24"/>
                <w:szCs w:val="28"/>
              </w:rPr>
              <w:t>2</w:t>
            </w:r>
            <w:r w:rsidRPr="00B254BE">
              <w:rPr>
                <w:b/>
                <w:bCs/>
                <w:sz w:val="24"/>
                <w:szCs w:val="28"/>
              </w:rPr>
              <w:t xml:space="preserve"> </w:t>
            </w:r>
            <w:r w:rsidR="00540B14">
              <w:rPr>
                <w:b/>
                <w:bCs/>
                <w:sz w:val="24"/>
                <w:szCs w:val="28"/>
              </w:rPr>
              <w:t>2</w:t>
            </w:r>
            <w:r w:rsidR="00540B14" w:rsidRPr="00540B14">
              <w:rPr>
                <w:b/>
                <w:bCs/>
                <w:sz w:val="24"/>
                <w:szCs w:val="28"/>
                <w:vertAlign w:val="superscript"/>
              </w:rPr>
              <w:t>nd</w:t>
            </w:r>
            <w:r w:rsidR="00540B14">
              <w:rPr>
                <w:b/>
                <w:bCs/>
                <w:sz w:val="24"/>
                <w:szCs w:val="28"/>
              </w:rPr>
              <w:t xml:space="preserve"> March 2023</w:t>
            </w:r>
            <w:r w:rsidR="001011BF" w:rsidRPr="00B254BE">
              <w:rPr>
                <w:b/>
                <w:bCs/>
                <w:sz w:val="24"/>
                <w:szCs w:val="28"/>
              </w:rPr>
              <w:t xml:space="preserve"> </w:t>
            </w:r>
          </w:p>
        </w:tc>
      </w:tr>
      <w:tr w:rsidR="0034130C" w:rsidRPr="00B254BE" w14:paraId="1E593D6D" w14:textId="77777777" w:rsidTr="00B95153">
        <w:trPr>
          <w:trHeight w:hRule="exact" w:val="648"/>
          <w:jc w:val="center"/>
        </w:trPr>
        <w:tc>
          <w:tcPr>
            <w:tcW w:w="2500" w:type="pct"/>
            <w:vAlign w:val="center"/>
          </w:tcPr>
          <w:p w14:paraId="78BE3B85" w14:textId="6BAA3225" w:rsidR="0034130C" w:rsidRPr="00B254BE" w:rsidRDefault="0034130C">
            <w:pPr>
              <w:jc w:val="center"/>
              <w:rPr>
                <w:b/>
                <w:bCs/>
                <w:sz w:val="24"/>
                <w:szCs w:val="28"/>
              </w:rPr>
            </w:pPr>
            <w:r w:rsidRPr="00B254BE">
              <w:rPr>
                <w:b/>
                <w:bCs/>
                <w:sz w:val="24"/>
                <w:szCs w:val="28"/>
              </w:rPr>
              <w:t>Author</w:t>
            </w:r>
            <w:r w:rsidR="005F46AA">
              <w:rPr>
                <w:b/>
                <w:bCs/>
                <w:sz w:val="24"/>
                <w:szCs w:val="28"/>
              </w:rPr>
              <w:t>(s)</w:t>
            </w:r>
          </w:p>
        </w:tc>
        <w:tc>
          <w:tcPr>
            <w:tcW w:w="2500" w:type="pct"/>
            <w:vAlign w:val="center"/>
          </w:tcPr>
          <w:p w14:paraId="34FE6443" w14:textId="3994D4CF" w:rsidR="0034130C" w:rsidRPr="00B254BE" w:rsidRDefault="00EF5C93" w:rsidP="00DE0B61">
            <w:pPr>
              <w:jc w:val="center"/>
              <w:rPr>
                <w:b/>
                <w:bCs/>
                <w:sz w:val="24"/>
                <w:szCs w:val="28"/>
              </w:rPr>
            </w:pPr>
            <w:r>
              <w:rPr>
                <w:b/>
                <w:bCs/>
                <w:sz w:val="24"/>
                <w:szCs w:val="28"/>
              </w:rPr>
              <w:t>Sarika Ellul</w:t>
            </w:r>
          </w:p>
        </w:tc>
      </w:tr>
      <w:tr w:rsidR="0034130C" w:rsidRPr="00B254BE" w14:paraId="7E9732B0" w14:textId="77777777" w:rsidTr="00B95153">
        <w:trPr>
          <w:trHeight w:hRule="exact" w:val="648"/>
          <w:jc w:val="center"/>
        </w:trPr>
        <w:tc>
          <w:tcPr>
            <w:tcW w:w="2500" w:type="pct"/>
            <w:vAlign w:val="center"/>
          </w:tcPr>
          <w:p w14:paraId="60964554" w14:textId="3BDEBA68" w:rsidR="0034130C" w:rsidRPr="00B254BE" w:rsidRDefault="0034130C">
            <w:pPr>
              <w:jc w:val="center"/>
              <w:rPr>
                <w:b/>
                <w:bCs/>
                <w:sz w:val="24"/>
                <w:szCs w:val="28"/>
              </w:rPr>
            </w:pPr>
            <w:r w:rsidRPr="00B254BE">
              <w:rPr>
                <w:b/>
                <w:bCs/>
                <w:sz w:val="24"/>
                <w:szCs w:val="28"/>
              </w:rPr>
              <w:t>Reviewer</w:t>
            </w:r>
          </w:p>
        </w:tc>
        <w:tc>
          <w:tcPr>
            <w:tcW w:w="2500" w:type="pct"/>
            <w:vAlign w:val="center"/>
          </w:tcPr>
          <w:p w14:paraId="7FEE9355" w14:textId="51304987" w:rsidR="0034130C" w:rsidRPr="00B254BE" w:rsidRDefault="00C34043" w:rsidP="00DE0B61">
            <w:pPr>
              <w:jc w:val="center"/>
              <w:rPr>
                <w:b/>
                <w:bCs/>
                <w:sz w:val="24"/>
                <w:szCs w:val="28"/>
              </w:rPr>
            </w:pPr>
            <w:r>
              <w:rPr>
                <w:b/>
                <w:bCs/>
                <w:sz w:val="24"/>
                <w:szCs w:val="28"/>
              </w:rPr>
              <w:t>Alison Lloyd</w:t>
            </w:r>
          </w:p>
        </w:tc>
      </w:tr>
      <w:tr w:rsidR="008E3A29" w:rsidRPr="00B254BE" w14:paraId="0D5BA765" w14:textId="77777777" w:rsidTr="00B95153">
        <w:trPr>
          <w:trHeight w:hRule="exact" w:val="2263"/>
          <w:jc w:val="center"/>
        </w:trPr>
        <w:tc>
          <w:tcPr>
            <w:tcW w:w="2500" w:type="pct"/>
            <w:vAlign w:val="center"/>
          </w:tcPr>
          <w:p w14:paraId="36E128A8" w14:textId="77777777" w:rsidR="008E3A29" w:rsidRPr="00B254BE" w:rsidRDefault="008E3A29">
            <w:pPr>
              <w:jc w:val="center"/>
              <w:rPr>
                <w:b/>
                <w:bCs/>
                <w:sz w:val="24"/>
                <w:szCs w:val="28"/>
              </w:rPr>
            </w:pPr>
            <w:r w:rsidRPr="00B254BE">
              <w:rPr>
                <w:b/>
                <w:bCs/>
                <w:sz w:val="24"/>
                <w:szCs w:val="28"/>
              </w:rPr>
              <w:t xml:space="preserve">Authorisation </w:t>
            </w:r>
          </w:p>
        </w:tc>
        <w:tc>
          <w:tcPr>
            <w:tcW w:w="2500" w:type="pct"/>
          </w:tcPr>
          <w:p w14:paraId="76E18C9F" w14:textId="0B899370" w:rsidR="008E3A29" w:rsidRPr="00B254BE" w:rsidRDefault="008E3A29">
            <w:pPr>
              <w:rPr>
                <w:b/>
                <w:bCs/>
                <w:sz w:val="24"/>
                <w:szCs w:val="28"/>
              </w:rPr>
            </w:pPr>
          </w:p>
          <w:p w14:paraId="2DE763B1" w14:textId="17709766" w:rsidR="00DE0B61" w:rsidRPr="00B254BE" w:rsidRDefault="00DE0B61" w:rsidP="001D2093">
            <w:pPr>
              <w:jc w:val="center"/>
              <w:rPr>
                <w:b/>
                <w:bCs/>
                <w:sz w:val="24"/>
                <w:szCs w:val="28"/>
              </w:rPr>
            </w:pPr>
            <w:r w:rsidRPr="00B254BE">
              <w:rPr>
                <w:b/>
                <w:bCs/>
                <w:sz w:val="24"/>
                <w:szCs w:val="28"/>
              </w:rPr>
              <w:t>Designated Individual</w:t>
            </w:r>
          </w:p>
          <w:p w14:paraId="245C824A" w14:textId="074D855D" w:rsidR="001A7785" w:rsidRPr="00B254BE" w:rsidRDefault="001A7785" w:rsidP="001D2093">
            <w:pPr>
              <w:jc w:val="center"/>
              <w:rPr>
                <w:b/>
                <w:bCs/>
                <w:sz w:val="24"/>
                <w:szCs w:val="28"/>
              </w:rPr>
            </w:pPr>
            <w:r w:rsidRPr="00B254BE">
              <w:rPr>
                <w:noProof/>
                <w:sz w:val="24"/>
                <w:szCs w:val="28"/>
              </w:rPr>
              <w:drawing>
                <wp:anchor distT="0" distB="0" distL="114300" distR="114300" simplePos="0" relativeHeight="251658240" behindDoc="0" locked="0" layoutInCell="1" allowOverlap="1" wp14:anchorId="545D703B" wp14:editId="6B9A9651">
                  <wp:simplePos x="0" y="0"/>
                  <wp:positionH relativeFrom="column">
                    <wp:posOffset>540748</wp:posOffset>
                  </wp:positionH>
                  <wp:positionV relativeFrom="paragraph">
                    <wp:posOffset>23495</wp:posOffset>
                  </wp:positionV>
                  <wp:extent cx="1689100" cy="777240"/>
                  <wp:effectExtent l="0" t="0" r="6350" b="3810"/>
                  <wp:wrapSquare wrapText="bothSides"/>
                  <wp:docPr id="2080599609" name="Picture 2080599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689100" cy="777240"/>
                          </a:xfrm>
                          <a:prstGeom prst="rect">
                            <a:avLst/>
                          </a:prstGeom>
                        </pic:spPr>
                      </pic:pic>
                    </a:graphicData>
                  </a:graphic>
                  <wp14:sizeRelH relativeFrom="margin">
                    <wp14:pctWidth>0</wp14:pctWidth>
                  </wp14:sizeRelH>
                  <wp14:sizeRelV relativeFrom="margin">
                    <wp14:pctHeight>0</wp14:pctHeight>
                  </wp14:sizeRelV>
                </wp:anchor>
              </w:drawing>
            </w:r>
          </w:p>
          <w:p w14:paraId="20E85B57" w14:textId="51320743" w:rsidR="00DE0B61" w:rsidRPr="00B254BE" w:rsidRDefault="00DE0B61" w:rsidP="001D2093">
            <w:pPr>
              <w:jc w:val="center"/>
              <w:rPr>
                <w:b/>
                <w:bCs/>
                <w:sz w:val="24"/>
                <w:szCs w:val="28"/>
              </w:rPr>
            </w:pPr>
          </w:p>
          <w:p w14:paraId="4684D359" w14:textId="6E2ABD34" w:rsidR="001D2093" w:rsidRPr="00B254BE" w:rsidRDefault="001D2093" w:rsidP="1DB3A8F3">
            <w:pPr>
              <w:jc w:val="center"/>
              <w:rPr>
                <w:sz w:val="24"/>
                <w:szCs w:val="28"/>
              </w:rPr>
            </w:pPr>
          </w:p>
          <w:p w14:paraId="32FDF6B1" w14:textId="53EDA6C3" w:rsidR="001D2093" w:rsidRPr="00B254BE" w:rsidRDefault="001D2093" w:rsidP="001D2093">
            <w:pPr>
              <w:jc w:val="center"/>
              <w:rPr>
                <w:b/>
                <w:bCs/>
                <w:sz w:val="24"/>
                <w:szCs w:val="28"/>
              </w:rPr>
            </w:pPr>
          </w:p>
          <w:p w14:paraId="5F236519" w14:textId="77777777" w:rsidR="001D2093" w:rsidRPr="00B254BE" w:rsidRDefault="001D2093" w:rsidP="001D2093">
            <w:pPr>
              <w:jc w:val="center"/>
              <w:rPr>
                <w:b/>
                <w:bCs/>
                <w:sz w:val="24"/>
                <w:szCs w:val="28"/>
              </w:rPr>
            </w:pPr>
          </w:p>
          <w:p w14:paraId="0D04CA83" w14:textId="77777777" w:rsidR="00DE0B61" w:rsidRPr="00B254BE" w:rsidRDefault="00DE0B61" w:rsidP="001D2093">
            <w:pPr>
              <w:jc w:val="center"/>
              <w:rPr>
                <w:bCs/>
                <w:noProof/>
                <w:sz w:val="24"/>
                <w:szCs w:val="28"/>
                <w:lang w:eastAsia="en-GB"/>
              </w:rPr>
            </w:pPr>
            <w:r w:rsidRPr="00B254BE">
              <w:rPr>
                <w:b/>
                <w:bCs/>
                <w:sz w:val="24"/>
                <w:szCs w:val="28"/>
              </w:rPr>
              <w:t>Professor Degens</w:t>
            </w:r>
          </w:p>
          <w:p w14:paraId="4FAF2643" w14:textId="34C969AA" w:rsidR="008E3A29" w:rsidRPr="00B254BE" w:rsidRDefault="008E3A29">
            <w:pPr>
              <w:rPr>
                <w:b/>
                <w:bCs/>
                <w:sz w:val="24"/>
                <w:szCs w:val="28"/>
              </w:rPr>
            </w:pPr>
          </w:p>
        </w:tc>
      </w:tr>
    </w:tbl>
    <w:p w14:paraId="7B64D4D0" w14:textId="77777777" w:rsidR="00DE0B61" w:rsidRDefault="00DE0B61" w:rsidP="00552715">
      <w:pPr>
        <w:pStyle w:val="Heading1"/>
      </w:pPr>
      <w:r>
        <w:t xml:space="preserve">Background </w:t>
      </w:r>
    </w:p>
    <w:p w14:paraId="6645311D" w14:textId="5A648C73" w:rsidR="00DE0B61" w:rsidRDefault="00DE0B61" w:rsidP="00C77EE8">
      <w:r w:rsidRPr="00075F30">
        <w:t xml:space="preserve">The University has introduced a quality management system for the governance of the acquisition, </w:t>
      </w:r>
      <w:r w:rsidR="00C34043" w:rsidRPr="00075F30">
        <w:t>storage,</w:t>
      </w:r>
      <w:r w:rsidRPr="00075F30">
        <w:t xml:space="preserve"> and use of human tissue. </w:t>
      </w:r>
    </w:p>
    <w:p w14:paraId="077A01A0" w14:textId="77777777" w:rsidR="00DE0B61" w:rsidRDefault="00DE0B61" w:rsidP="00C77EE8"/>
    <w:p w14:paraId="6E9D13AA" w14:textId="77777777" w:rsidR="00DE0B61" w:rsidRPr="00075F30" w:rsidRDefault="00DE0B61" w:rsidP="00C77EE8">
      <w:r>
        <w:t>This system will ensure that all work is carried out to the highest standard and that the University complies with the licensing obligations of the Human Tissue Act (</w:t>
      </w:r>
      <w:r w:rsidRPr="00B07864">
        <w:t>HTA,</w:t>
      </w:r>
      <w:r>
        <w:t xml:space="preserve"> 2004). </w:t>
      </w:r>
    </w:p>
    <w:p w14:paraId="1B0857F9" w14:textId="77777777" w:rsidR="00DE0B61" w:rsidRDefault="00DE0B61" w:rsidP="00C77EE8"/>
    <w:p w14:paraId="30733B65" w14:textId="15DF9C2B" w:rsidR="4F4F0E4B" w:rsidRPr="00C77EE8" w:rsidRDefault="00DE0B61" w:rsidP="00C77EE8">
      <w:r>
        <w:t>This SOP forms part of a suite of SOPs (MMUHTA</w:t>
      </w:r>
      <w:r w:rsidR="00C34043">
        <w:t>_</w:t>
      </w:r>
      <w:r>
        <w:t xml:space="preserve">001 – </w:t>
      </w:r>
      <w:r w:rsidR="0034130C">
        <w:t>MMUHTA</w:t>
      </w:r>
      <w:r w:rsidR="00C34043">
        <w:t>_</w:t>
      </w:r>
      <w:r w:rsidR="0034130C">
        <w:t>019</w:t>
      </w:r>
      <w:r>
        <w:t xml:space="preserve">) that support implementation of the quality management system and should be used </w:t>
      </w:r>
      <w:r w:rsidR="52EEC4A7" w:rsidRPr="1DB3A8F3">
        <w:rPr>
          <w:rFonts w:eastAsia="Arial"/>
          <w:color w:val="000000" w:themeColor="text1"/>
        </w:rPr>
        <w:t xml:space="preserve">as directed in conjunction with Manchester Metropolitan University’s HTA Code of Practice.  </w:t>
      </w:r>
      <w:r w:rsidR="52EEC4A7">
        <w:t xml:space="preserve"> </w:t>
      </w:r>
    </w:p>
    <w:p w14:paraId="3E5A21F7" w14:textId="5A4C9F04" w:rsidR="00DE0B61" w:rsidRDefault="00DE0B61" w:rsidP="00552715">
      <w:pPr>
        <w:pStyle w:val="Heading1"/>
      </w:pPr>
      <w:r w:rsidRPr="4F4F0E4B">
        <w:t xml:space="preserve">Purpose </w:t>
      </w:r>
    </w:p>
    <w:p w14:paraId="7F37DB57" w14:textId="3C11C8AF" w:rsidR="00DE0B61" w:rsidRPr="00C77EE8" w:rsidRDefault="00DE0B61" w:rsidP="00C77EE8">
      <w:r>
        <w:t xml:space="preserve">The purpose of this SOP is to set out a standard template for </w:t>
      </w:r>
      <w:r w:rsidR="78A8B48A">
        <w:t>training for those who are using material which falls under the Human Tissue Act (2004)</w:t>
      </w:r>
      <w:r>
        <w:t>.</w:t>
      </w:r>
    </w:p>
    <w:p w14:paraId="5447BD1E" w14:textId="524C01ED" w:rsidR="00DE0B61" w:rsidRPr="00C77EE8" w:rsidRDefault="00DE0B61" w:rsidP="00C77EE8">
      <w:pPr>
        <w:pStyle w:val="Heading1"/>
      </w:pPr>
      <w:r>
        <w:t xml:space="preserve">Definitions </w:t>
      </w:r>
    </w:p>
    <w:p w14:paraId="5F2F040F" w14:textId="77777777" w:rsidR="00DE0B61" w:rsidRDefault="00DE0B61" w:rsidP="00552715">
      <w:pPr>
        <w:pStyle w:val="Heading2"/>
      </w:pPr>
      <w:r>
        <w:t xml:space="preserve">Human Tissue </w:t>
      </w:r>
    </w:p>
    <w:p w14:paraId="29BB9D53" w14:textId="77777777" w:rsidR="00DE0B61" w:rsidRPr="00075F30" w:rsidRDefault="00DE0B61" w:rsidP="00C77EE8">
      <w:r>
        <w:t>A</w:t>
      </w:r>
      <w:r w:rsidRPr="00075F30">
        <w:t xml:space="preserve">ny, and all, constituent part/s of the human body </w:t>
      </w:r>
      <w:r>
        <w:t>containing</w:t>
      </w:r>
      <w:r w:rsidRPr="00075F30">
        <w:t xml:space="preserve"> cells. </w:t>
      </w:r>
    </w:p>
    <w:p w14:paraId="1D8F45E2" w14:textId="77777777" w:rsidR="00DE0B61" w:rsidRDefault="00DE0B61" w:rsidP="00DE0B61">
      <w:pPr>
        <w:pStyle w:val="Default"/>
        <w:rPr>
          <w:b/>
          <w:bCs/>
          <w:sz w:val="23"/>
          <w:szCs w:val="23"/>
        </w:rPr>
      </w:pPr>
    </w:p>
    <w:p w14:paraId="1C78A294" w14:textId="77777777" w:rsidR="00DE0B61" w:rsidRDefault="00DE0B61" w:rsidP="00552715">
      <w:pPr>
        <w:pStyle w:val="Heading1"/>
      </w:pPr>
      <w:r>
        <w:t xml:space="preserve">Scope (of this SOP) </w:t>
      </w:r>
    </w:p>
    <w:p w14:paraId="14AEB63E" w14:textId="4A1ADBC7" w:rsidR="008E3A29" w:rsidRPr="00E43100" w:rsidRDefault="008E3A29" w:rsidP="00C77EE8">
      <w:r>
        <w:t xml:space="preserve">All Manchester Metropolitan </w:t>
      </w:r>
      <w:r w:rsidRPr="008E3A29">
        <w:t xml:space="preserve">University staff participating in work/projects involving human tissue. </w:t>
      </w:r>
    </w:p>
    <w:p w14:paraId="0D922572" w14:textId="77777777" w:rsidR="008E3A29" w:rsidRPr="008E3A29" w:rsidRDefault="008E3A29" w:rsidP="00552715">
      <w:pPr>
        <w:pStyle w:val="Heading1"/>
      </w:pPr>
      <w:r w:rsidRPr="008E3A29">
        <w:t xml:space="preserve">Procedure </w:t>
      </w:r>
    </w:p>
    <w:p w14:paraId="6484CF4A" w14:textId="36251738" w:rsidR="008E3A29" w:rsidRDefault="008E3A29" w:rsidP="00C77EE8">
      <w:r w:rsidRPr="008E3A29">
        <w:t>All staff proposing to undertake research with human tissue must complete appropriate competency</w:t>
      </w:r>
      <w:r w:rsidR="00DE0B61">
        <w:t>-</w:t>
      </w:r>
      <w:r w:rsidRPr="008E3A29">
        <w:t xml:space="preserve">based training prior to commencement of the work. This will include familiarisation with relevant documentation (codes of practice, standard operating procedures, and risk assessments) and undertaking appropriate training courses where required. </w:t>
      </w:r>
    </w:p>
    <w:p w14:paraId="56113794" w14:textId="77777777" w:rsidR="008E3A29" w:rsidRPr="008E3A29" w:rsidRDefault="008E3A29" w:rsidP="00C77EE8"/>
    <w:p w14:paraId="6D8DFF9B" w14:textId="77777777" w:rsidR="008E3A29" w:rsidRDefault="008E3A29" w:rsidP="00C77EE8">
      <w:r w:rsidRPr="008E3A29">
        <w:t xml:space="preserve">Training requirements should be determined according to the role of the individual and reviewed before the commencement of each new project/activity. </w:t>
      </w:r>
    </w:p>
    <w:p w14:paraId="7B93CB26" w14:textId="77777777" w:rsidR="008E3A29" w:rsidRDefault="008E3A29" w:rsidP="00C77EE8"/>
    <w:p w14:paraId="6FE57C18" w14:textId="2670FCD0" w:rsidR="008E3A29" w:rsidRPr="008E3A29" w:rsidRDefault="008E3A29" w:rsidP="00C77EE8">
      <w:r w:rsidRPr="008E3A29">
        <w:t xml:space="preserve">The training requirements of individuals and subsequent achievement of the required competencies should be identified and recorded </w:t>
      </w:r>
      <w:r w:rsidR="003437DF">
        <w:t>by the relevant Research Administrative Group</w:t>
      </w:r>
      <w:r w:rsidR="00247E5D">
        <w:t xml:space="preserve">. This will </w:t>
      </w:r>
      <w:r w:rsidR="0000545F">
        <w:t>differ</w:t>
      </w:r>
      <w:r w:rsidR="00247E5D">
        <w:t xml:space="preserve"> between Faculties and specific advice should be taken from </w:t>
      </w:r>
      <w:r w:rsidR="00DE0B61">
        <w:t xml:space="preserve">the </w:t>
      </w:r>
      <w:r w:rsidR="00247E5D">
        <w:t>designated individual.</w:t>
      </w:r>
    </w:p>
    <w:p w14:paraId="51D69855" w14:textId="77777777" w:rsidR="002A4E28" w:rsidRDefault="002A4E28" w:rsidP="00C77EE8"/>
    <w:p w14:paraId="7D5E27D4" w14:textId="6ACCFFBB" w:rsidR="00262CAB" w:rsidRDefault="00606557" w:rsidP="00C77EE8">
      <w:r w:rsidRPr="1DB3A8F3">
        <w:t xml:space="preserve">The minimum training required for all users is to take the </w:t>
      </w:r>
      <w:r w:rsidR="00A71993" w:rsidRPr="1DB3A8F3">
        <w:t>o</w:t>
      </w:r>
      <w:r w:rsidRPr="1DB3A8F3">
        <w:t>n</w:t>
      </w:r>
      <w:r w:rsidR="00A71993" w:rsidRPr="1DB3A8F3">
        <w:t>l</w:t>
      </w:r>
      <w:r w:rsidRPr="1DB3A8F3">
        <w:t>ine M</w:t>
      </w:r>
      <w:r w:rsidR="009947E3" w:rsidRPr="1DB3A8F3">
        <w:t xml:space="preserve">edical Research Council (MRC) </w:t>
      </w:r>
      <w:r w:rsidR="00A71993" w:rsidRPr="1DB3A8F3">
        <w:rPr>
          <w:color w:val="000000" w:themeColor="text1"/>
        </w:rPr>
        <w:t>training</w:t>
      </w:r>
      <w:r w:rsidR="00C031D8" w:rsidRPr="1DB3A8F3">
        <w:rPr>
          <w:color w:val="000000" w:themeColor="text1"/>
        </w:rPr>
        <w:t xml:space="preserve">, </w:t>
      </w:r>
      <w:r w:rsidR="00262CAB" w:rsidRPr="1DB3A8F3">
        <w:rPr>
          <w:color w:val="000000" w:themeColor="text1"/>
        </w:rPr>
        <w:t xml:space="preserve">attend an </w:t>
      </w:r>
      <w:r w:rsidR="005A20B7" w:rsidRPr="1DB3A8F3">
        <w:rPr>
          <w:color w:val="000000" w:themeColor="text1"/>
        </w:rPr>
        <w:t>Induction</w:t>
      </w:r>
      <w:r w:rsidR="00262CAB" w:rsidRPr="1DB3A8F3">
        <w:rPr>
          <w:color w:val="000000" w:themeColor="text1"/>
        </w:rPr>
        <w:t xml:space="preserve"> session</w:t>
      </w:r>
      <w:r w:rsidR="00C031D8" w:rsidRPr="1DB3A8F3">
        <w:rPr>
          <w:color w:val="000000" w:themeColor="text1"/>
        </w:rPr>
        <w:t xml:space="preserve"> and a </w:t>
      </w:r>
      <w:r w:rsidR="004B490D" w:rsidRPr="1DB3A8F3">
        <w:rPr>
          <w:color w:val="000000" w:themeColor="text1"/>
        </w:rPr>
        <w:t xml:space="preserve">general </w:t>
      </w:r>
      <w:r w:rsidR="00C031D8" w:rsidRPr="1DB3A8F3">
        <w:rPr>
          <w:color w:val="000000" w:themeColor="text1"/>
        </w:rPr>
        <w:t>laboratory</w:t>
      </w:r>
      <w:r w:rsidR="004B490D" w:rsidRPr="1DB3A8F3">
        <w:rPr>
          <w:color w:val="000000" w:themeColor="text1"/>
        </w:rPr>
        <w:t xml:space="preserve"> 3</w:t>
      </w:r>
      <w:r w:rsidR="004B490D" w:rsidRPr="1DB3A8F3">
        <w:rPr>
          <w:color w:val="000000" w:themeColor="text1"/>
          <w:vertAlign w:val="superscript"/>
        </w:rPr>
        <w:t>rd</w:t>
      </w:r>
      <w:r w:rsidR="004B490D" w:rsidRPr="1DB3A8F3">
        <w:rPr>
          <w:color w:val="000000" w:themeColor="text1"/>
        </w:rPr>
        <w:t xml:space="preserve"> floor</w:t>
      </w:r>
      <w:r w:rsidR="00C031D8" w:rsidRPr="1DB3A8F3">
        <w:rPr>
          <w:color w:val="000000" w:themeColor="text1"/>
        </w:rPr>
        <w:t xml:space="preserve"> </w:t>
      </w:r>
      <w:r w:rsidR="004B490D" w:rsidRPr="1DB3A8F3">
        <w:rPr>
          <w:color w:val="000000" w:themeColor="text1"/>
        </w:rPr>
        <w:t>h</w:t>
      </w:r>
      <w:r w:rsidR="00C031D8" w:rsidRPr="1DB3A8F3">
        <w:rPr>
          <w:color w:val="000000" w:themeColor="text1"/>
        </w:rPr>
        <w:t xml:space="preserve">ealth &amp; </w:t>
      </w:r>
      <w:r w:rsidR="004B490D" w:rsidRPr="1DB3A8F3">
        <w:rPr>
          <w:color w:val="000000" w:themeColor="text1"/>
        </w:rPr>
        <w:t>s</w:t>
      </w:r>
      <w:r w:rsidR="00C031D8" w:rsidRPr="1DB3A8F3">
        <w:rPr>
          <w:color w:val="000000" w:themeColor="text1"/>
        </w:rPr>
        <w:t>afety session</w:t>
      </w:r>
      <w:r w:rsidR="004B490D" w:rsidRPr="1DB3A8F3">
        <w:rPr>
          <w:color w:val="000000" w:themeColor="text1"/>
        </w:rPr>
        <w:t>.</w:t>
      </w:r>
      <w:r w:rsidR="00C031D8" w:rsidRPr="1DB3A8F3">
        <w:rPr>
          <w:color w:val="000000" w:themeColor="text1"/>
        </w:rPr>
        <w:t xml:space="preserve"> </w:t>
      </w:r>
    </w:p>
    <w:p w14:paraId="273DA979" w14:textId="77777777" w:rsidR="00262CAB" w:rsidRDefault="00262CAB" w:rsidP="00C77EE8"/>
    <w:p w14:paraId="59D51253" w14:textId="7A404BA3" w:rsidR="005A20B7" w:rsidRPr="00E726D2" w:rsidRDefault="00262CAB" w:rsidP="00C77EE8">
      <w:r>
        <w:t>The MRC training</w:t>
      </w:r>
      <w:r w:rsidR="00A71993">
        <w:t xml:space="preserve"> can be found </w:t>
      </w:r>
      <w:r w:rsidR="00915326">
        <w:t xml:space="preserve">on </w:t>
      </w:r>
      <w:hyperlink r:id="rId15" w:history="1">
        <w:r w:rsidR="00E726D2" w:rsidRPr="001D2093">
          <w:rPr>
            <w:rStyle w:val="Hyperlink"/>
            <w:rFonts w:eastAsia="Times New Roman"/>
            <w:color w:val="0070C0"/>
          </w:rPr>
          <w:t>https://byglearning.co.uk/mrcrsc-lms/course/index.php? categoryid=1</w:t>
        </w:r>
      </w:hyperlink>
      <w:r w:rsidR="00E726D2">
        <w:t xml:space="preserve"> and the c</w:t>
      </w:r>
      <w:r w:rsidR="0000545F">
        <w:t>ourse</w:t>
      </w:r>
      <w:r w:rsidR="00E726D2">
        <w:t xml:space="preserve"> </w:t>
      </w:r>
      <w:r w:rsidR="00C50F5F">
        <w:t>to be completed is</w:t>
      </w:r>
      <w:r w:rsidR="0000545F">
        <w:t xml:space="preserve">: </w:t>
      </w:r>
      <w:hyperlink r:id="rId16" w:history="1">
        <w:r w:rsidR="0000545F" w:rsidRPr="0000545F">
          <w:rPr>
            <w:b/>
          </w:rPr>
          <w:t>Research and human tissue legislation assessment - England, Wales &amp; NI</w:t>
        </w:r>
      </w:hyperlink>
    </w:p>
    <w:p w14:paraId="4870FC1B" w14:textId="77777777" w:rsidR="00DE0B61" w:rsidRDefault="00DE0B61" w:rsidP="00C77EE8"/>
    <w:p w14:paraId="0F1280B9" w14:textId="42AD18D1" w:rsidR="0000545F" w:rsidRDefault="0000545F" w:rsidP="00387A46">
      <w:r w:rsidRPr="0CFAC6FE">
        <w:t xml:space="preserve">As proof of completion of the course individuals should send the Certificate to the DI </w:t>
      </w:r>
      <w:r w:rsidR="6F13F014" w:rsidRPr="0CFAC6FE">
        <w:t>and</w:t>
      </w:r>
      <w:r w:rsidRPr="0CFAC6FE">
        <w:t xml:space="preserve"> PDs for archiving.</w:t>
      </w:r>
    </w:p>
    <w:p w14:paraId="059DD682" w14:textId="133ADEC5" w:rsidR="00C50F5F" w:rsidRDefault="00C50F5F" w:rsidP="00387A46">
      <w:pPr>
        <w:rPr>
          <w:color w:val="000000" w:themeColor="text1"/>
        </w:rPr>
      </w:pPr>
    </w:p>
    <w:p w14:paraId="65A27886" w14:textId="71C0BC14" w:rsidR="007E30EB" w:rsidRPr="00823DCB" w:rsidRDefault="007E30EB" w:rsidP="00387A46">
      <w:r w:rsidRPr="1DB3A8F3">
        <w:t>The HT induction session checklist ensures that HT users at the University have been trained on</w:t>
      </w:r>
      <w:r w:rsidR="35A2AE5A" w:rsidRPr="1DB3A8F3">
        <w:t>,</w:t>
      </w:r>
      <w:r w:rsidRPr="1DB3A8F3">
        <w:t xml:space="preserve"> and are made aware of</w:t>
      </w:r>
      <w:r w:rsidR="61CCB092" w:rsidRPr="1DB3A8F3">
        <w:t>,</w:t>
      </w:r>
      <w:r w:rsidRPr="1DB3A8F3">
        <w:t xml:space="preserve"> official HTA guidelines, MRC HT training, M</w:t>
      </w:r>
      <w:r w:rsidR="312D636D" w:rsidRPr="1DB3A8F3">
        <w:t>an</w:t>
      </w:r>
      <w:r w:rsidRPr="1DB3A8F3">
        <w:t>M</w:t>
      </w:r>
      <w:r w:rsidR="4E98B137" w:rsidRPr="1DB3A8F3">
        <w:t>et</w:t>
      </w:r>
      <w:r w:rsidRPr="1DB3A8F3">
        <w:t xml:space="preserve">’s HT procedures (SOPs, risk assessments, ethical approval, consent training), sample traceability </w:t>
      </w:r>
      <w:r w:rsidR="7D645F8C" w:rsidRPr="1DB3A8F3">
        <w:t xml:space="preserve">in ItemTracker </w:t>
      </w:r>
      <w:r w:rsidRPr="1DB3A8F3">
        <w:t>and the Tutela freezer alarm system. The goal of the induction is to familiarise HT users with the suite of resources available that will ensure sample acquisition and traceability are as required by the HTA.</w:t>
      </w:r>
    </w:p>
    <w:p w14:paraId="5480DF1E" w14:textId="6BA56ABB" w:rsidR="00C50F5F" w:rsidRPr="00823DCB" w:rsidRDefault="00F06F47" w:rsidP="00C77EE8">
      <w:pPr>
        <w:rPr>
          <w:color w:val="000000" w:themeColor="text1"/>
        </w:rPr>
      </w:pPr>
      <w:r w:rsidRPr="1DB3A8F3">
        <w:rPr>
          <w:color w:val="000000" w:themeColor="text1"/>
        </w:rPr>
        <w:t xml:space="preserve"> </w:t>
      </w:r>
    </w:p>
    <w:p w14:paraId="6B64BD28" w14:textId="65C6DFAB" w:rsidR="00C50F5F" w:rsidRPr="00823DCB" w:rsidRDefault="00F473EE" w:rsidP="00C77EE8">
      <w:pPr>
        <w:rPr>
          <w:color w:val="000000" w:themeColor="text1"/>
        </w:rPr>
      </w:pPr>
      <w:r w:rsidRPr="1DB3A8F3">
        <w:rPr>
          <w:color w:val="000000" w:themeColor="text1"/>
        </w:rPr>
        <w:t>During the induction, the HT user is signed off if they meet all the below:</w:t>
      </w:r>
    </w:p>
    <w:p w14:paraId="5BCBEA13" w14:textId="77777777" w:rsidR="00F473EE" w:rsidRPr="00387A46" w:rsidRDefault="00F473EE" w:rsidP="00387A46">
      <w:pPr>
        <w:pStyle w:val="ListParagraph"/>
        <w:numPr>
          <w:ilvl w:val="0"/>
          <w:numId w:val="6"/>
        </w:numPr>
        <w:rPr>
          <w:rFonts w:ascii="Arial" w:hAnsi="Arial" w:cs="Arial"/>
        </w:rPr>
      </w:pPr>
      <w:r w:rsidRPr="00387A46">
        <w:rPr>
          <w:rFonts w:ascii="Arial" w:hAnsi="Arial" w:cs="Arial"/>
        </w:rPr>
        <w:t>Obtained University ethical approval or external approval where needed.</w:t>
      </w:r>
    </w:p>
    <w:p w14:paraId="38DFB4BE" w14:textId="46DBBE17" w:rsidR="00F473EE" w:rsidRPr="00387A46" w:rsidRDefault="00F473EE" w:rsidP="00387A46">
      <w:pPr>
        <w:pStyle w:val="ListParagraph"/>
        <w:numPr>
          <w:ilvl w:val="0"/>
          <w:numId w:val="6"/>
        </w:numPr>
        <w:rPr>
          <w:rFonts w:ascii="Arial" w:hAnsi="Arial" w:cs="Arial"/>
        </w:rPr>
      </w:pPr>
      <w:r w:rsidRPr="00387A46">
        <w:rPr>
          <w:rFonts w:ascii="Arial" w:hAnsi="Arial" w:cs="Arial"/>
        </w:rPr>
        <w:t>Completed MRC</w:t>
      </w:r>
      <w:r w:rsidR="009947E3" w:rsidRPr="00387A46">
        <w:rPr>
          <w:rFonts w:ascii="Arial" w:hAnsi="Arial" w:cs="Arial"/>
        </w:rPr>
        <w:t xml:space="preserve"> </w:t>
      </w:r>
      <w:r w:rsidRPr="00387A46">
        <w:rPr>
          <w:rFonts w:ascii="Arial" w:hAnsi="Arial" w:cs="Arial"/>
        </w:rPr>
        <w:t>training (it is a requirement that this training is renewed every two years)</w:t>
      </w:r>
    </w:p>
    <w:p w14:paraId="7A66752A" w14:textId="77777777" w:rsidR="009947E3" w:rsidRPr="00387A46" w:rsidRDefault="00F473EE" w:rsidP="00387A46">
      <w:pPr>
        <w:pStyle w:val="ListParagraph"/>
        <w:numPr>
          <w:ilvl w:val="0"/>
          <w:numId w:val="6"/>
        </w:numPr>
        <w:rPr>
          <w:rFonts w:ascii="Arial" w:hAnsi="Arial" w:cs="Arial"/>
          <w:u w:val="single"/>
        </w:rPr>
      </w:pPr>
      <w:r w:rsidRPr="00387A46">
        <w:rPr>
          <w:rFonts w:ascii="Arial" w:hAnsi="Arial" w:cs="Arial"/>
        </w:rPr>
        <w:t xml:space="preserve">Undertaken consent training by watching the </w:t>
      </w:r>
      <w:hyperlink r:id="rId17">
        <w:r w:rsidRPr="00387A46">
          <w:rPr>
            <w:rFonts w:ascii="Arial" w:hAnsi="Arial" w:cs="Arial"/>
            <w:color w:val="0070C0"/>
            <w:u w:val="single"/>
          </w:rPr>
          <w:t>Human Tissue Act (HTA) consent video - mmutube</w:t>
        </w:r>
      </w:hyperlink>
    </w:p>
    <w:p w14:paraId="35ABBC0E" w14:textId="289233A6" w:rsidR="00F473EE" w:rsidRPr="00387A46" w:rsidRDefault="009947E3" w:rsidP="00387A46">
      <w:pPr>
        <w:pStyle w:val="ListParagraph"/>
        <w:numPr>
          <w:ilvl w:val="0"/>
          <w:numId w:val="6"/>
        </w:numPr>
        <w:rPr>
          <w:rFonts w:ascii="Arial" w:hAnsi="Arial" w:cs="Arial"/>
        </w:rPr>
      </w:pPr>
      <w:r w:rsidRPr="00387A46">
        <w:rPr>
          <w:rFonts w:ascii="Arial" w:hAnsi="Arial" w:cs="Arial"/>
        </w:rPr>
        <w:t>R</w:t>
      </w:r>
      <w:r w:rsidR="00F473EE" w:rsidRPr="00387A46">
        <w:rPr>
          <w:rFonts w:ascii="Arial" w:hAnsi="Arial" w:cs="Arial"/>
        </w:rPr>
        <w:t>ead all Manchester Metropolitan University</w:t>
      </w:r>
      <w:r w:rsidRPr="00387A46">
        <w:rPr>
          <w:rFonts w:ascii="Arial" w:hAnsi="Arial" w:cs="Arial"/>
        </w:rPr>
        <w:t>’s SOPs, risk assessments and HTA Code of Practice</w:t>
      </w:r>
      <w:r w:rsidR="008F230F" w:rsidRPr="00387A46">
        <w:rPr>
          <w:rFonts w:ascii="Arial" w:hAnsi="Arial" w:cs="Arial"/>
        </w:rPr>
        <w:t xml:space="preserve"> (HTA Code A &amp; E)</w:t>
      </w:r>
      <w:r w:rsidR="1E11ECF4" w:rsidRPr="00387A46">
        <w:rPr>
          <w:rFonts w:ascii="Arial" w:hAnsi="Arial" w:cs="Arial"/>
        </w:rPr>
        <w:t xml:space="preserve"> related to the HTA</w:t>
      </w:r>
    </w:p>
    <w:p w14:paraId="4041C543" w14:textId="69804F3E" w:rsidR="00F473EE" w:rsidRPr="00387A46" w:rsidRDefault="00F473EE" w:rsidP="00387A46">
      <w:pPr>
        <w:pStyle w:val="ListParagraph"/>
        <w:numPr>
          <w:ilvl w:val="0"/>
          <w:numId w:val="6"/>
        </w:numPr>
        <w:rPr>
          <w:rFonts w:ascii="Arial" w:hAnsi="Arial" w:cs="Arial"/>
        </w:rPr>
      </w:pPr>
      <w:r w:rsidRPr="00387A46">
        <w:rPr>
          <w:rFonts w:ascii="Arial" w:hAnsi="Arial" w:cs="Arial"/>
        </w:rPr>
        <w:t>Been allocated space to store human tissues samples</w:t>
      </w:r>
    </w:p>
    <w:p w14:paraId="363965F8" w14:textId="7A6CFE8C" w:rsidR="00F473EE" w:rsidRPr="00387A46" w:rsidRDefault="00F473EE" w:rsidP="00387A46">
      <w:pPr>
        <w:pStyle w:val="ListParagraph"/>
        <w:numPr>
          <w:ilvl w:val="0"/>
          <w:numId w:val="6"/>
        </w:numPr>
        <w:rPr>
          <w:rFonts w:ascii="Arial" w:hAnsi="Arial" w:cs="Arial"/>
          <w:b/>
          <w:bCs/>
        </w:rPr>
      </w:pPr>
      <w:r w:rsidRPr="00387A46">
        <w:rPr>
          <w:rFonts w:ascii="Arial" w:hAnsi="Arial" w:cs="Arial"/>
        </w:rPr>
        <w:t>Given access to HTA SharePoint</w:t>
      </w:r>
    </w:p>
    <w:p w14:paraId="35F08C30" w14:textId="6FB74768" w:rsidR="00F473EE" w:rsidRPr="00387A46" w:rsidRDefault="008F230F" w:rsidP="00387A46">
      <w:pPr>
        <w:pStyle w:val="ListParagraph"/>
        <w:numPr>
          <w:ilvl w:val="0"/>
          <w:numId w:val="6"/>
        </w:numPr>
        <w:rPr>
          <w:rStyle w:val="Hyperlink"/>
          <w:rFonts w:ascii="Arial" w:hAnsi="Arial" w:cs="Arial"/>
          <w:color w:val="000000" w:themeColor="text1"/>
        </w:rPr>
      </w:pPr>
      <w:r w:rsidRPr="00387A46">
        <w:rPr>
          <w:rFonts w:ascii="Arial" w:hAnsi="Arial" w:cs="Arial"/>
        </w:rPr>
        <w:t>Viewed t</w:t>
      </w:r>
      <w:r w:rsidR="00F473EE" w:rsidRPr="00387A46">
        <w:rPr>
          <w:rFonts w:ascii="Arial" w:hAnsi="Arial" w:cs="Arial"/>
        </w:rPr>
        <w:t xml:space="preserve">raining </w:t>
      </w:r>
      <w:r w:rsidRPr="00387A46">
        <w:rPr>
          <w:rFonts w:ascii="Arial" w:hAnsi="Arial" w:cs="Arial"/>
        </w:rPr>
        <w:t>PowerPoint for</w:t>
      </w:r>
      <w:r w:rsidR="00F473EE" w:rsidRPr="00387A46">
        <w:rPr>
          <w:rFonts w:ascii="Arial" w:hAnsi="Arial" w:cs="Arial"/>
        </w:rPr>
        <w:t xml:space="preserve"> ItemTracker </w:t>
      </w:r>
    </w:p>
    <w:p w14:paraId="2CC82A96" w14:textId="32F4B146" w:rsidR="00F473EE" w:rsidRPr="00387A46" w:rsidRDefault="00F473EE" w:rsidP="00387A46">
      <w:pPr>
        <w:pStyle w:val="ListParagraph"/>
        <w:numPr>
          <w:ilvl w:val="0"/>
          <w:numId w:val="6"/>
        </w:numPr>
        <w:rPr>
          <w:rFonts w:ascii="Arial" w:hAnsi="Arial" w:cs="Arial"/>
          <w:b/>
          <w:bCs/>
        </w:rPr>
      </w:pPr>
      <w:r w:rsidRPr="00387A46">
        <w:rPr>
          <w:rFonts w:ascii="Arial" w:hAnsi="Arial" w:cs="Arial"/>
        </w:rPr>
        <w:t xml:space="preserve">Training and understanding how the Tutela alarm system operates </w:t>
      </w:r>
    </w:p>
    <w:p w14:paraId="16167A63" w14:textId="1FE34CC7" w:rsidR="00F473EE" w:rsidRPr="00387A46" w:rsidRDefault="00F473EE" w:rsidP="00387A46">
      <w:pPr>
        <w:pStyle w:val="ListParagraph"/>
        <w:numPr>
          <w:ilvl w:val="0"/>
          <w:numId w:val="6"/>
        </w:numPr>
        <w:rPr>
          <w:rFonts w:ascii="Arial" w:hAnsi="Arial" w:cs="Arial"/>
        </w:rPr>
      </w:pPr>
      <w:r w:rsidRPr="00387A46">
        <w:rPr>
          <w:rFonts w:ascii="Arial" w:hAnsi="Arial" w:cs="Arial"/>
        </w:rPr>
        <w:t>Have sufficient and suitable racking for storage of samples</w:t>
      </w:r>
    </w:p>
    <w:p w14:paraId="7761DCC9" w14:textId="18B13E19" w:rsidR="00F473EE" w:rsidRPr="00387A46" w:rsidRDefault="00F473EE" w:rsidP="00387A46">
      <w:pPr>
        <w:pStyle w:val="ListParagraph"/>
        <w:numPr>
          <w:ilvl w:val="0"/>
          <w:numId w:val="6"/>
        </w:numPr>
        <w:rPr>
          <w:rFonts w:ascii="Arial" w:hAnsi="Arial" w:cs="Arial"/>
          <w:color w:val="000000" w:themeColor="text1"/>
        </w:rPr>
      </w:pPr>
      <w:r w:rsidRPr="00387A46">
        <w:rPr>
          <w:rFonts w:ascii="Arial" w:hAnsi="Arial" w:cs="Arial"/>
          <w:color w:val="000000" w:themeColor="text1"/>
        </w:rPr>
        <w:t>Have sample labels that fulfil the criteria for use in ItemTracker</w:t>
      </w:r>
    </w:p>
    <w:p w14:paraId="57B93F8C" w14:textId="5BC8B150" w:rsidR="008F230F" w:rsidRPr="00937A08" w:rsidRDefault="008F230F" w:rsidP="00387A46">
      <w:pPr>
        <w:pStyle w:val="ListParagraph"/>
        <w:numPr>
          <w:ilvl w:val="0"/>
          <w:numId w:val="6"/>
        </w:numPr>
        <w:rPr>
          <w:rFonts w:ascii="Arial" w:hAnsi="Arial" w:cs="Arial"/>
          <w:b/>
          <w:bCs/>
          <w:color w:val="000000" w:themeColor="text1"/>
        </w:rPr>
      </w:pPr>
      <w:r w:rsidRPr="00387A46">
        <w:rPr>
          <w:rFonts w:ascii="Arial" w:hAnsi="Arial" w:cs="Arial"/>
          <w:color w:val="000000" w:themeColor="text1"/>
        </w:rPr>
        <w:lastRenderedPageBreak/>
        <w:t xml:space="preserve">Been advised about </w:t>
      </w:r>
      <w:r w:rsidR="00550B1B" w:rsidRPr="00387A46">
        <w:rPr>
          <w:rFonts w:ascii="Arial" w:hAnsi="Arial" w:cs="Arial"/>
          <w:color w:val="000000" w:themeColor="text1"/>
        </w:rPr>
        <w:t xml:space="preserve">the quarantine </w:t>
      </w:r>
      <w:r w:rsidR="0047476D" w:rsidRPr="00387A46">
        <w:rPr>
          <w:rFonts w:ascii="Arial" w:hAnsi="Arial" w:cs="Arial"/>
          <w:color w:val="000000" w:themeColor="text1"/>
        </w:rPr>
        <w:t>of sample when they arrive until they receipt them and place them on ItemTracker</w:t>
      </w:r>
    </w:p>
    <w:p w14:paraId="61FAD3F8" w14:textId="4EA61D1A" w:rsidR="00937A08" w:rsidRPr="00937A08" w:rsidRDefault="00937A08" w:rsidP="00937A08">
      <w:r>
        <w:t xml:space="preserve">In cases where additional training is required, as a part of updates and changes to existing SOPs, </w:t>
      </w:r>
      <w:r w:rsidR="005B7103">
        <w:t>all additional training must be carried out within four weeks of being notified of the change</w:t>
      </w:r>
      <w:r w:rsidR="00424684">
        <w:t xml:space="preserve">s. If training is not </w:t>
      </w:r>
      <w:r w:rsidR="00FF5C87">
        <w:t>comp</w:t>
      </w:r>
      <w:r w:rsidR="00B2652E">
        <w:t xml:space="preserve">leted </w:t>
      </w:r>
      <w:r w:rsidR="00CC66B7">
        <w:t>within the four week period, access to the HTA storage freezers will be revoked and research halted until training is complete.</w:t>
      </w:r>
    </w:p>
    <w:p w14:paraId="6AF670D4" w14:textId="50499BB5" w:rsidR="007E74AC" w:rsidRPr="007E74AC" w:rsidRDefault="007E74AC" w:rsidP="00552715">
      <w:pPr>
        <w:pStyle w:val="Heading1"/>
      </w:pPr>
      <w:r w:rsidRPr="1DB3A8F3">
        <w:t>Additional Information</w:t>
      </w:r>
    </w:p>
    <w:p w14:paraId="0D4963EE" w14:textId="1B1D3896" w:rsidR="00922E75" w:rsidRDefault="00922E75" w:rsidP="00387A46">
      <w:r w:rsidRPr="1DB3A8F3">
        <w:t xml:space="preserve">If PIs </w:t>
      </w:r>
      <w:r w:rsidR="005F019B" w:rsidRPr="1DB3A8F3">
        <w:t xml:space="preserve">have visitors joining them </w:t>
      </w:r>
      <w:r w:rsidR="00E632AD" w:rsidRPr="1DB3A8F3">
        <w:t xml:space="preserve">to conduct </w:t>
      </w:r>
      <w:r w:rsidR="005F019B" w:rsidRPr="1DB3A8F3">
        <w:t>work on their research</w:t>
      </w:r>
      <w:r w:rsidR="00B43ED9" w:rsidRPr="1DB3A8F3">
        <w:t xml:space="preserve">, </w:t>
      </w:r>
      <w:r w:rsidR="007C5D34" w:rsidRPr="1DB3A8F3">
        <w:t>th</w:t>
      </w:r>
      <w:r w:rsidR="00DC0DA8" w:rsidRPr="1DB3A8F3">
        <w:t xml:space="preserve">e HT compliance team (DI/PDs) should be notified to ensure that the visitor </w:t>
      </w:r>
      <w:r w:rsidR="00B43ED9" w:rsidRPr="1DB3A8F3">
        <w:t xml:space="preserve">has MRC </w:t>
      </w:r>
      <w:r w:rsidR="00E632AD" w:rsidRPr="1DB3A8F3">
        <w:t>training,</w:t>
      </w:r>
      <w:r w:rsidR="00B43ED9" w:rsidRPr="1DB3A8F3">
        <w:t xml:space="preserve"> and a HT induction session</w:t>
      </w:r>
      <w:r w:rsidR="00E632AD" w:rsidRPr="1DB3A8F3">
        <w:t xml:space="preserve"> is provided</w:t>
      </w:r>
      <w:r w:rsidR="00B43ED9" w:rsidRPr="1DB3A8F3">
        <w:t xml:space="preserve">. </w:t>
      </w:r>
      <w:r w:rsidR="00305473" w:rsidRPr="1DB3A8F3">
        <w:t xml:space="preserve">It’s the PIs responsibility to ensure that the visitor is working within HTA guidelines during their stay at the University. </w:t>
      </w:r>
    </w:p>
    <w:p w14:paraId="6FEA29A2" w14:textId="77777777" w:rsidR="00552715" w:rsidRDefault="00552715" w:rsidP="1DB3A8F3">
      <w:pPr>
        <w:pStyle w:val="Default"/>
        <w:jc w:val="both"/>
        <w:rPr>
          <w:color w:val="000000" w:themeColor="text1"/>
        </w:rPr>
      </w:pPr>
    </w:p>
    <w:p w14:paraId="7C8CAC15" w14:textId="77777777" w:rsidR="00552715" w:rsidRDefault="00552715" w:rsidP="1DB3A8F3">
      <w:pPr>
        <w:pStyle w:val="Default"/>
        <w:jc w:val="both"/>
        <w:rPr>
          <w:color w:val="000000" w:themeColor="text1"/>
        </w:rPr>
      </w:pPr>
    </w:p>
    <w:p w14:paraId="5525F2DC" w14:textId="77777777" w:rsidR="00552715" w:rsidRDefault="00552715" w:rsidP="1DB3A8F3">
      <w:pPr>
        <w:pStyle w:val="Default"/>
        <w:jc w:val="both"/>
        <w:rPr>
          <w:color w:val="000000" w:themeColor="text1"/>
        </w:rPr>
      </w:pPr>
    </w:p>
    <w:p w14:paraId="37E78FDF" w14:textId="77777777" w:rsidR="00552715" w:rsidRDefault="00552715" w:rsidP="1DB3A8F3">
      <w:pPr>
        <w:pStyle w:val="Default"/>
        <w:jc w:val="both"/>
        <w:rPr>
          <w:color w:val="000000" w:themeColor="text1"/>
        </w:rPr>
      </w:pPr>
    </w:p>
    <w:p w14:paraId="60011FB3" w14:textId="77777777" w:rsidR="00552715" w:rsidRDefault="00552715" w:rsidP="1DB3A8F3">
      <w:pPr>
        <w:pStyle w:val="Default"/>
        <w:jc w:val="both"/>
        <w:rPr>
          <w:color w:val="000000" w:themeColor="text1"/>
        </w:rPr>
      </w:pPr>
    </w:p>
    <w:p w14:paraId="32512468" w14:textId="77777777" w:rsidR="00552715" w:rsidRDefault="00552715" w:rsidP="1DB3A8F3">
      <w:pPr>
        <w:pStyle w:val="Default"/>
        <w:jc w:val="both"/>
        <w:rPr>
          <w:color w:val="000000" w:themeColor="text1"/>
        </w:rPr>
      </w:pPr>
    </w:p>
    <w:p w14:paraId="71B242A3" w14:textId="77777777" w:rsidR="00552715" w:rsidRDefault="00552715" w:rsidP="1DB3A8F3">
      <w:pPr>
        <w:pStyle w:val="Default"/>
        <w:jc w:val="both"/>
        <w:rPr>
          <w:color w:val="000000" w:themeColor="text1"/>
        </w:rPr>
      </w:pPr>
    </w:p>
    <w:p w14:paraId="246DBBCB" w14:textId="77777777" w:rsidR="00552715" w:rsidRDefault="00552715" w:rsidP="1DB3A8F3">
      <w:pPr>
        <w:pStyle w:val="Default"/>
        <w:jc w:val="both"/>
        <w:rPr>
          <w:color w:val="000000" w:themeColor="text1"/>
        </w:rPr>
      </w:pPr>
    </w:p>
    <w:p w14:paraId="029911FF" w14:textId="77777777" w:rsidR="00552715" w:rsidRDefault="00552715" w:rsidP="1DB3A8F3">
      <w:pPr>
        <w:pStyle w:val="Default"/>
        <w:jc w:val="both"/>
        <w:rPr>
          <w:color w:val="000000" w:themeColor="text1"/>
        </w:rPr>
      </w:pPr>
    </w:p>
    <w:p w14:paraId="441BFB53" w14:textId="77777777" w:rsidR="00552715" w:rsidRDefault="00552715" w:rsidP="1DB3A8F3">
      <w:pPr>
        <w:pStyle w:val="Default"/>
        <w:jc w:val="both"/>
        <w:rPr>
          <w:color w:val="000000" w:themeColor="text1"/>
        </w:rPr>
      </w:pPr>
    </w:p>
    <w:p w14:paraId="1B403CCB" w14:textId="77777777" w:rsidR="00552715" w:rsidRDefault="00552715" w:rsidP="1DB3A8F3">
      <w:pPr>
        <w:pStyle w:val="Default"/>
        <w:jc w:val="both"/>
        <w:rPr>
          <w:color w:val="000000" w:themeColor="text1"/>
        </w:rPr>
      </w:pPr>
    </w:p>
    <w:p w14:paraId="7EDA3E89" w14:textId="77777777" w:rsidR="00552715" w:rsidRDefault="00552715" w:rsidP="1DB3A8F3">
      <w:pPr>
        <w:pStyle w:val="Default"/>
        <w:jc w:val="both"/>
        <w:rPr>
          <w:color w:val="000000" w:themeColor="text1"/>
        </w:rPr>
      </w:pPr>
    </w:p>
    <w:p w14:paraId="6DBB620F" w14:textId="77777777" w:rsidR="00552715" w:rsidRDefault="00552715" w:rsidP="1DB3A8F3">
      <w:pPr>
        <w:pStyle w:val="Default"/>
        <w:jc w:val="both"/>
        <w:rPr>
          <w:color w:val="000000" w:themeColor="text1"/>
        </w:rPr>
      </w:pPr>
    </w:p>
    <w:p w14:paraId="3AE339CD" w14:textId="77777777" w:rsidR="00552715" w:rsidRDefault="00552715" w:rsidP="1DB3A8F3">
      <w:pPr>
        <w:pStyle w:val="Default"/>
        <w:jc w:val="both"/>
        <w:rPr>
          <w:color w:val="000000" w:themeColor="text1"/>
        </w:rPr>
      </w:pPr>
    </w:p>
    <w:p w14:paraId="741310E1" w14:textId="77777777" w:rsidR="00552715" w:rsidRDefault="00552715" w:rsidP="1DB3A8F3">
      <w:pPr>
        <w:pStyle w:val="Default"/>
        <w:jc w:val="both"/>
        <w:rPr>
          <w:color w:val="000000" w:themeColor="text1"/>
        </w:rPr>
      </w:pPr>
    </w:p>
    <w:p w14:paraId="115A0C05" w14:textId="77777777" w:rsidR="00552715" w:rsidRDefault="00552715" w:rsidP="1DB3A8F3">
      <w:pPr>
        <w:pStyle w:val="Default"/>
        <w:jc w:val="both"/>
        <w:rPr>
          <w:color w:val="000000" w:themeColor="text1"/>
        </w:rPr>
      </w:pPr>
    </w:p>
    <w:p w14:paraId="7F11C598" w14:textId="77777777" w:rsidR="00552715" w:rsidRDefault="00552715" w:rsidP="1DB3A8F3">
      <w:pPr>
        <w:pStyle w:val="Default"/>
        <w:jc w:val="both"/>
        <w:rPr>
          <w:color w:val="000000" w:themeColor="text1"/>
        </w:rPr>
      </w:pPr>
    </w:p>
    <w:p w14:paraId="21F47C79" w14:textId="77777777" w:rsidR="00552715" w:rsidRDefault="00552715" w:rsidP="1DB3A8F3">
      <w:pPr>
        <w:pStyle w:val="Default"/>
        <w:jc w:val="both"/>
        <w:rPr>
          <w:color w:val="000000" w:themeColor="text1"/>
        </w:rPr>
      </w:pPr>
    </w:p>
    <w:p w14:paraId="274941B8" w14:textId="77777777" w:rsidR="00552715" w:rsidRDefault="00552715" w:rsidP="1DB3A8F3">
      <w:pPr>
        <w:pStyle w:val="Default"/>
        <w:jc w:val="both"/>
        <w:rPr>
          <w:color w:val="000000" w:themeColor="text1"/>
        </w:rPr>
      </w:pPr>
    </w:p>
    <w:p w14:paraId="4ACEFAAC" w14:textId="77777777" w:rsidR="00552715" w:rsidRPr="007E74AC" w:rsidRDefault="00552715" w:rsidP="1DB3A8F3">
      <w:pPr>
        <w:pStyle w:val="Default"/>
        <w:jc w:val="both"/>
        <w:rPr>
          <w:color w:val="000000" w:themeColor="text1"/>
        </w:rPr>
      </w:pPr>
    </w:p>
    <w:p w14:paraId="41550CF6" w14:textId="3571722F" w:rsidR="0CFAC6FE" w:rsidRDefault="0CFAC6FE" w:rsidP="0CFAC6FE">
      <w:pPr>
        <w:pStyle w:val="Default"/>
        <w:jc w:val="both"/>
        <w:rPr>
          <w:color w:val="auto"/>
        </w:rPr>
      </w:pPr>
    </w:p>
    <w:p w14:paraId="25438A8D" w14:textId="77777777" w:rsidR="00552715" w:rsidRDefault="00552715" w:rsidP="0CFAC6FE">
      <w:pPr>
        <w:pStyle w:val="Default"/>
        <w:jc w:val="both"/>
        <w:rPr>
          <w:color w:val="auto"/>
        </w:rPr>
      </w:pPr>
    </w:p>
    <w:p w14:paraId="478C1B6B" w14:textId="77777777" w:rsidR="00552715" w:rsidRDefault="00552715" w:rsidP="0CFAC6FE">
      <w:pPr>
        <w:pStyle w:val="Default"/>
        <w:jc w:val="both"/>
        <w:rPr>
          <w:color w:val="auto"/>
        </w:rPr>
      </w:pPr>
    </w:p>
    <w:p w14:paraId="5CA2A1C2" w14:textId="77777777" w:rsidR="00552715" w:rsidRDefault="00552715" w:rsidP="0CFAC6FE">
      <w:pPr>
        <w:pStyle w:val="Default"/>
        <w:jc w:val="both"/>
        <w:rPr>
          <w:color w:val="auto"/>
        </w:rPr>
      </w:pPr>
    </w:p>
    <w:p w14:paraId="5A9EB85B" w14:textId="77777777" w:rsidR="00552715" w:rsidRDefault="00552715" w:rsidP="0CFAC6FE">
      <w:pPr>
        <w:pStyle w:val="Default"/>
        <w:jc w:val="both"/>
        <w:rPr>
          <w:color w:val="auto"/>
        </w:rPr>
      </w:pPr>
    </w:p>
    <w:p w14:paraId="35F2E45F" w14:textId="77777777" w:rsidR="00552715" w:rsidRDefault="00552715" w:rsidP="0CFAC6FE">
      <w:pPr>
        <w:pStyle w:val="Default"/>
        <w:jc w:val="both"/>
        <w:rPr>
          <w:color w:val="auto"/>
        </w:rPr>
      </w:pPr>
    </w:p>
    <w:p w14:paraId="5323C7DB" w14:textId="77777777" w:rsidR="00387A46" w:rsidRDefault="00387A46" w:rsidP="0CFAC6FE">
      <w:pPr>
        <w:pStyle w:val="Default"/>
        <w:jc w:val="both"/>
        <w:rPr>
          <w:color w:val="auto"/>
        </w:rPr>
      </w:pPr>
    </w:p>
    <w:p w14:paraId="6E78DD4F" w14:textId="77777777" w:rsidR="00387A46" w:rsidRDefault="00387A46" w:rsidP="0CFAC6FE">
      <w:pPr>
        <w:pStyle w:val="Default"/>
        <w:jc w:val="both"/>
        <w:rPr>
          <w:color w:val="auto"/>
        </w:rPr>
      </w:pPr>
    </w:p>
    <w:p w14:paraId="798426A7" w14:textId="77777777" w:rsidR="00387A46" w:rsidRDefault="00387A46" w:rsidP="0CFAC6FE">
      <w:pPr>
        <w:pStyle w:val="Default"/>
        <w:jc w:val="both"/>
        <w:rPr>
          <w:color w:val="auto"/>
        </w:rPr>
      </w:pPr>
    </w:p>
    <w:p w14:paraId="6BFACB7D" w14:textId="77777777" w:rsidR="00387A46" w:rsidRDefault="00387A46" w:rsidP="0CFAC6FE">
      <w:pPr>
        <w:pStyle w:val="Default"/>
        <w:jc w:val="both"/>
        <w:rPr>
          <w:color w:val="auto"/>
        </w:rPr>
      </w:pPr>
    </w:p>
    <w:p w14:paraId="0D97E8FE" w14:textId="77777777" w:rsidR="00387A46" w:rsidRDefault="00387A46" w:rsidP="0CFAC6FE">
      <w:pPr>
        <w:pStyle w:val="Default"/>
        <w:jc w:val="both"/>
        <w:rPr>
          <w:color w:val="auto"/>
        </w:rPr>
      </w:pPr>
    </w:p>
    <w:p w14:paraId="724A1D33" w14:textId="77777777" w:rsidR="00387A46" w:rsidRDefault="00387A46" w:rsidP="0CFAC6FE">
      <w:pPr>
        <w:pStyle w:val="Default"/>
        <w:jc w:val="both"/>
        <w:rPr>
          <w:color w:val="auto"/>
        </w:rPr>
      </w:pPr>
    </w:p>
    <w:p w14:paraId="18D68DE4" w14:textId="77777777" w:rsidR="00387A46" w:rsidRDefault="00387A46" w:rsidP="0CFAC6FE">
      <w:pPr>
        <w:pStyle w:val="Default"/>
        <w:jc w:val="both"/>
        <w:rPr>
          <w:color w:val="auto"/>
        </w:rPr>
      </w:pPr>
    </w:p>
    <w:p w14:paraId="0DD6CC84" w14:textId="77777777" w:rsidR="00387A46" w:rsidRDefault="00387A46" w:rsidP="0CFAC6FE">
      <w:pPr>
        <w:pStyle w:val="Default"/>
        <w:jc w:val="both"/>
        <w:rPr>
          <w:color w:val="auto"/>
        </w:rPr>
      </w:pPr>
    </w:p>
    <w:p w14:paraId="6CBEFC07" w14:textId="77777777" w:rsidR="00387A46" w:rsidRDefault="00387A46" w:rsidP="0CFAC6FE">
      <w:pPr>
        <w:pStyle w:val="Default"/>
        <w:jc w:val="both"/>
        <w:rPr>
          <w:color w:val="auto"/>
        </w:rPr>
      </w:pPr>
    </w:p>
    <w:p w14:paraId="6BA12268" w14:textId="77777777" w:rsidR="00387A46" w:rsidRDefault="00387A46" w:rsidP="0CFAC6FE">
      <w:pPr>
        <w:pStyle w:val="Default"/>
        <w:jc w:val="both"/>
        <w:rPr>
          <w:color w:val="auto"/>
        </w:rPr>
      </w:pPr>
    </w:p>
    <w:p w14:paraId="05EF03B7" w14:textId="77777777" w:rsidR="00387A46" w:rsidRDefault="00387A46" w:rsidP="0CFAC6FE">
      <w:pPr>
        <w:pStyle w:val="Default"/>
        <w:jc w:val="both"/>
        <w:rPr>
          <w:color w:val="auto"/>
        </w:rPr>
      </w:pPr>
    </w:p>
    <w:p w14:paraId="47EBCA6D" w14:textId="77777777" w:rsidR="00387A46" w:rsidRDefault="00387A46" w:rsidP="0CFAC6FE">
      <w:pPr>
        <w:pStyle w:val="Default"/>
        <w:jc w:val="both"/>
        <w:rPr>
          <w:color w:val="auto"/>
        </w:rPr>
      </w:pPr>
    </w:p>
    <w:p w14:paraId="0C8DA082" w14:textId="77777777" w:rsidR="00387A46" w:rsidRDefault="00387A46" w:rsidP="0CFAC6FE">
      <w:pPr>
        <w:pStyle w:val="Default"/>
        <w:jc w:val="both"/>
        <w:rPr>
          <w:color w:val="auto"/>
        </w:rPr>
      </w:pPr>
    </w:p>
    <w:p w14:paraId="08B12D8A" w14:textId="77777777" w:rsidR="00387A46" w:rsidRDefault="00387A46" w:rsidP="0CFAC6FE">
      <w:pPr>
        <w:pStyle w:val="Default"/>
        <w:jc w:val="both"/>
        <w:rPr>
          <w:color w:val="auto"/>
        </w:rPr>
      </w:pPr>
    </w:p>
    <w:p w14:paraId="66A0ECCE" w14:textId="1223CEFB" w:rsidR="13E73ECC" w:rsidRDefault="13E73ECC" w:rsidP="00552715">
      <w:pPr>
        <w:pStyle w:val="Heading1"/>
      </w:pPr>
      <w:r w:rsidRPr="0CFAC6FE">
        <w:t xml:space="preserve">Version Control </w:t>
      </w:r>
    </w:p>
    <w:p w14:paraId="434E4C64" w14:textId="3B25B357" w:rsidR="0CFAC6FE" w:rsidRDefault="0CFAC6FE" w:rsidP="0CFAC6FE">
      <w:pPr>
        <w:pStyle w:val="Default"/>
        <w:jc w:val="both"/>
        <w:rPr>
          <w:b/>
          <w:bCs/>
          <w:color w:val="auto"/>
        </w:rPr>
      </w:pPr>
    </w:p>
    <w:tbl>
      <w:tblPr>
        <w:tblStyle w:val="TableGrid"/>
        <w:tblW w:w="5000" w:type="pct"/>
        <w:tblLook w:val="06A0" w:firstRow="1" w:lastRow="0" w:firstColumn="1" w:lastColumn="0" w:noHBand="1" w:noVBand="1"/>
      </w:tblPr>
      <w:tblGrid>
        <w:gridCol w:w="1138"/>
        <w:gridCol w:w="5945"/>
        <w:gridCol w:w="1933"/>
      </w:tblGrid>
      <w:tr w:rsidR="0CFAC6FE" w:rsidRPr="0086218D" w14:paraId="76BFBAE9" w14:textId="77777777" w:rsidTr="006703A5">
        <w:tc>
          <w:tcPr>
            <w:tcW w:w="631" w:type="pct"/>
            <w:shd w:val="clear" w:color="auto" w:fill="EEECE1" w:themeFill="background2"/>
            <w:vAlign w:val="center"/>
          </w:tcPr>
          <w:p w14:paraId="032050D5" w14:textId="06120288" w:rsidR="0CFAC6FE" w:rsidRPr="0086218D" w:rsidRDefault="0CFAC6FE" w:rsidP="006703A5">
            <w:pPr>
              <w:spacing w:line="276" w:lineRule="auto"/>
              <w:ind w:left="57" w:right="57"/>
              <w:jc w:val="center"/>
              <w:rPr>
                <w:rFonts w:eastAsia="Arial"/>
                <w:color w:val="000000" w:themeColor="text1"/>
                <w:szCs w:val="22"/>
              </w:rPr>
            </w:pPr>
            <w:r w:rsidRPr="0086218D">
              <w:rPr>
                <w:rFonts w:eastAsia="Arial"/>
                <w:b/>
                <w:bCs/>
                <w:color w:val="000000" w:themeColor="text1"/>
                <w:szCs w:val="22"/>
              </w:rPr>
              <w:t>Version</w:t>
            </w:r>
          </w:p>
        </w:tc>
        <w:tc>
          <w:tcPr>
            <w:tcW w:w="3297" w:type="pct"/>
            <w:shd w:val="clear" w:color="auto" w:fill="EEECE1" w:themeFill="background2"/>
            <w:vAlign w:val="center"/>
          </w:tcPr>
          <w:p w14:paraId="55F8EDEB" w14:textId="7BF7D1F3" w:rsidR="0CFAC6FE" w:rsidRPr="0086218D" w:rsidRDefault="0CFAC6FE" w:rsidP="006703A5">
            <w:pPr>
              <w:spacing w:line="276" w:lineRule="auto"/>
              <w:ind w:left="57" w:right="57"/>
              <w:jc w:val="center"/>
              <w:rPr>
                <w:rFonts w:eastAsia="Arial"/>
                <w:color w:val="000000" w:themeColor="text1"/>
                <w:szCs w:val="22"/>
              </w:rPr>
            </w:pPr>
            <w:r w:rsidRPr="0086218D">
              <w:rPr>
                <w:rFonts w:eastAsia="Arial"/>
                <w:b/>
                <w:bCs/>
                <w:color w:val="000000" w:themeColor="text1"/>
                <w:szCs w:val="22"/>
              </w:rPr>
              <w:t>Reason for change</w:t>
            </w:r>
          </w:p>
        </w:tc>
        <w:tc>
          <w:tcPr>
            <w:tcW w:w="1072" w:type="pct"/>
            <w:shd w:val="clear" w:color="auto" w:fill="EEECE1" w:themeFill="background2"/>
            <w:vAlign w:val="center"/>
          </w:tcPr>
          <w:p w14:paraId="6FC1DCD8" w14:textId="6E567EAF" w:rsidR="0CFAC6FE" w:rsidRPr="0086218D" w:rsidRDefault="0CFAC6FE" w:rsidP="006703A5">
            <w:pPr>
              <w:spacing w:line="276" w:lineRule="auto"/>
              <w:ind w:left="57" w:right="57"/>
              <w:jc w:val="center"/>
              <w:rPr>
                <w:rFonts w:eastAsia="Arial"/>
                <w:color w:val="000000" w:themeColor="text1"/>
                <w:szCs w:val="22"/>
              </w:rPr>
            </w:pPr>
            <w:r w:rsidRPr="0086218D">
              <w:rPr>
                <w:rFonts w:eastAsia="Arial"/>
                <w:b/>
                <w:bCs/>
                <w:color w:val="000000" w:themeColor="text1"/>
                <w:szCs w:val="22"/>
              </w:rPr>
              <w:t>Date</w:t>
            </w:r>
          </w:p>
        </w:tc>
      </w:tr>
      <w:tr w:rsidR="0CFAC6FE" w:rsidRPr="0086218D" w14:paraId="001798B9" w14:textId="77777777" w:rsidTr="006703A5">
        <w:tc>
          <w:tcPr>
            <w:tcW w:w="631" w:type="pct"/>
            <w:vAlign w:val="center"/>
          </w:tcPr>
          <w:p w14:paraId="67F808C2" w14:textId="0FA58EA1" w:rsidR="595B9AA7" w:rsidRPr="0086218D" w:rsidRDefault="595B9AA7"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1.0</w:t>
            </w:r>
          </w:p>
        </w:tc>
        <w:tc>
          <w:tcPr>
            <w:tcW w:w="3297" w:type="pct"/>
            <w:vAlign w:val="center"/>
          </w:tcPr>
          <w:p w14:paraId="440AEB5F" w14:textId="7AC43588" w:rsidR="595B9AA7" w:rsidRPr="0086218D" w:rsidRDefault="595B9AA7"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N/A</w:t>
            </w:r>
          </w:p>
        </w:tc>
        <w:tc>
          <w:tcPr>
            <w:tcW w:w="1072" w:type="pct"/>
            <w:vAlign w:val="center"/>
          </w:tcPr>
          <w:p w14:paraId="128A4DED" w14:textId="002B15AD" w:rsidR="595B9AA7" w:rsidRPr="0086218D" w:rsidRDefault="595B9AA7"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14</w:t>
            </w:r>
            <w:r w:rsidRPr="0086218D">
              <w:rPr>
                <w:rFonts w:eastAsia="Arial"/>
                <w:color w:val="000000" w:themeColor="text1"/>
                <w:szCs w:val="22"/>
                <w:vertAlign w:val="superscript"/>
              </w:rPr>
              <w:t>th</w:t>
            </w:r>
            <w:r w:rsidRPr="0086218D">
              <w:rPr>
                <w:rFonts w:eastAsia="Arial"/>
                <w:color w:val="000000" w:themeColor="text1"/>
                <w:szCs w:val="22"/>
              </w:rPr>
              <w:t xml:space="preserve"> June 2021</w:t>
            </w:r>
          </w:p>
        </w:tc>
      </w:tr>
      <w:tr w:rsidR="0CFAC6FE" w:rsidRPr="0086218D" w14:paraId="66630E21" w14:textId="77777777" w:rsidTr="0083386C">
        <w:tc>
          <w:tcPr>
            <w:tcW w:w="631" w:type="pct"/>
            <w:vAlign w:val="center"/>
          </w:tcPr>
          <w:p w14:paraId="6B10EED9" w14:textId="4C76D502" w:rsidR="0CFAC6FE" w:rsidRPr="0086218D" w:rsidRDefault="001A71A4"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1.1</w:t>
            </w:r>
          </w:p>
        </w:tc>
        <w:tc>
          <w:tcPr>
            <w:tcW w:w="3297" w:type="pct"/>
            <w:vAlign w:val="center"/>
          </w:tcPr>
          <w:p w14:paraId="1AB4FEF9" w14:textId="295BE416" w:rsidR="0CFAC6FE" w:rsidRPr="0086218D" w:rsidRDefault="00AE58C2"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A new SOP was added to the</w:t>
            </w:r>
            <w:r w:rsidR="001D2093" w:rsidRPr="0086218D">
              <w:rPr>
                <w:rFonts w:eastAsia="Arial"/>
                <w:color w:val="000000" w:themeColor="text1"/>
                <w:szCs w:val="22"/>
              </w:rPr>
              <w:t xml:space="preserve"> s</w:t>
            </w:r>
            <w:r w:rsidRPr="0086218D">
              <w:rPr>
                <w:rFonts w:eastAsia="Arial"/>
                <w:color w:val="000000" w:themeColor="text1"/>
                <w:szCs w:val="22"/>
              </w:rPr>
              <w:t>uite therefore writing changed to state ‘</w:t>
            </w:r>
            <w:r w:rsidRPr="0086218D">
              <w:rPr>
                <w:szCs w:val="22"/>
              </w:rPr>
              <w:t>SOPs (MMU-HTA001 – MMU-HTA016)’ rather than SOPs (MMU-HTA001 – MMU-HTA015)</w:t>
            </w:r>
          </w:p>
        </w:tc>
        <w:tc>
          <w:tcPr>
            <w:tcW w:w="1072" w:type="pct"/>
            <w:vAlign w:val="center"/>
          </w:tcPr>
          <w:p w14:paraId="35639F55" w14:textId="76E33EB1" w:rsidR="0CFAC6FE" w:rsidRPr="0086218D" w:rsidRDefault="001A71A4"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25</w:t>
            </w:r>
            <w:r w:rsidRPr="0086218D">
              <w:rPr>
                <w:rFonts w:eastAsia="Arial"/>
                <w:color w:val="000000" w:themeColor="text1"/>
                <w:szCs w:val="22"/>
                <w:vertAlign w:val="superscript"/>
              </w:rPr>
              <w:t>th</w:t>
            </w:r>
            <w:r w:rsidRPr="0086218D">
              <w:rPr>
                <w:rFonts w:eastAsia="Arial"/>
                <w:color w:val="000000" w:themeColor="text1"/>
                <w:szCs w:val="22"/>
              </w:rPr>
              <w:t xml:space="preserve"> November</w:t>
            </w:r>
            <w:r w:rsidR="0086218D" w:rsidRPr="0086218D">
              <w:rPr>
                <w:rFonts w:eastAsia="Arial"/>
                <w:color w:val="000000" w:themeColor="text1"/>
                <w:szCs w:val="22"/>
              </w:rPr>
              <w:t>,</w:t>
            </w:r>
            <w:r w:rsidRPr="0086218D">
              <w:rPr>
                <w:rFonts w:eastAsia="Arial"/>
                <w:color w:val="000000" w:themeColor="text1"/>
                <w:szCs w:val="22"/>
              </w:rPr>
              <w:t xml:space="preserve"> 2022</w:t>
            </w:r>
          </w:p>
        </w:tc>
      </w:tr>
      <w:tr w:rsidR="0CFAC6FE" w:rsidRPr="0086218D" w14:paraId="5BF7567B" w14:textId="77777777" w:rsidTr="0083386C">
        <w:tc>
          <w:tcPr>
            <w:tcW w:w="631" w:type="pct"/>
            <w:vAlign w:val="center"/>
          </w:tcPr>
          <w:p w14:paraId="18BCC0F1" w14:textId="0879EE0F" w:rsidR="0CFAC6FE" w:rsidRPr="0086218D" w:rsidRDefault="004B490D"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1.2</w:t>
            </w:r>
          </w:p>
        </w:tc>
        <w:tc>
          <w:tcPr>
            <w:tcW w:w="3297" w:type="pct"/>
            <w:vAlign w:val="center"/>
          </w:tcPr>
          <w:p w14:paraId="3092633D" w14:textId="084C4A02" w:rsidR="006B53C0" w:rsidRPr="0086218D" w:rsidRDefault="006D2883"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 xml:space="preserve">Changes in writing to indicate new SOPs were added in the suite (MMU-HTA001 – MMU-HTA018) </w:t>
            </w:r>
            <w:r w:rsidR="00BE633F" w:rsidRPr="0086218D">
              <w:rPr>
                <w:szCs w:val="22"/>
              </w:rPr>
              <w:t>+</w:t>
            </w:r>
            <w:r w:rsidRPr="0086218D">
              <w:rPr>
                <w:rFonts w:eastAsia="Arial"/>
                <w:color w:val="000000" w:themeColor="text1"/>
                <w:szCs w:val="22"/>
              </w:rPr>
              <w:t xml:space="preserve"> </w:t>
            </w:r>
            <w:r w:rsidR="006B53C0" w:rsidRPr="0086218D">
              <w:rPr>
                <w:szCs w:val="22"/>
              </w:rPr>
              <w:t>added more information</w:t>
            </w:r>
            <w:r w:rsidR="003854DC" w:rsidRPr="0086218D">
              <w:rPr>
                <w:szCs w:val="22"/>
              </w:rPr>
              <w:t xml:space="preserve"> about the training process mainly the HT</w:t>
            </w:r>
            <w:r w:rsidRPr="0086218D">
              <w:rPr>
                <w:szCs w:val="22"/>
              </w:rPr>
              <w:t xml:space="preserve"> </w:t>
            </w:r>
            <w:r w:rsidR="003854DC" w:rsidRPr="0086218D">
              <w:rPr>
                <w:szCs w:val="22"/>
              </w:rPr>
              <w:t>Induction session</w:t>
            </w:r>
            <w:r w:rsidR="004A51BC" w:rsidRPr="0086218D">
              <w:rPr>
                <w:szCs w:val="22"/>
              </w:rPr>
              <w:t xml:space="preserve"> and visitors working with HT.</w:t>
            </w:r>
          </w:p>
        </w:tc>
        <w:tc>
          <w:tcPr>
            <w:tcW w:w="1072" w:type="pct"/>
            <w:vAlign w:val="center"/>
          </w:tcPr>
          <w:p w14:paraId="797E05AA" w14:textId="5F44E11B" w:rsidR="0CFAC6FE" w:rsidRPr="0086218D" w:rsidRDefault="00BE633F"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19th January</w:t>
            </w:r>
            <w:r w:rsidR="0086218D" w:rsidRPr="0086218D">
              <w:rPr>
                <w:rFonts w:eastAsia="Arial"/>
                <w:color w:val="000000" w:themeColor="text1"/>
                <w:szCs w:val="22"/>
              </w:rPr>
              <w:t>,</w:t>
            </w:r>
            <w:r w:rsidRPr="0086218D">
              <w:rPr>
                <w:rFonts w:eastAsia="Arial"/>
                <w:color w:val="000000" w:themeColor="text1"/>
                <w:szCs w:val="22"/>
              </w:rPr>
              <w:t xml:space="preserve"> 2023</w:t>
            </w:r>
          </w:p>
        </w:tc>
      </w:tr>
      <w:tr w:rsidR="0034130C" w:rsidRPr="0086218D" w14:paraId="2211293F" w14:textId="77777777" w:rsidTr="008B770B">
        <w:tc>
          <w:tcPr>
            <w:tcW w:w="631" w:type="pct"/>
            <w:vAlign w:val="center"/>
          </w:tcPr>
          <w:p w14:paraId="1B23A905" w14:textId="1D649AEB" w:rsidR="0034130C" w:rsidRPr="0086218D" w:rsidRDefault="0034130C"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1.3</w:t>
            </w:r>
          </w:p>
        </w:tc>
        <w:tc>
          <w:tcPr>
            <w:tcW w:w="3297" w:type="pct"/>
            <w:vAlign w:val="center"/>
          </w:tcPr>
          <w:p w14:paraId="0F2CAF0B" w14:textId="7589AF7E" w:rsidR="0034130C" w:rsidRPr="0086218D" w:rsidRDefault="0034130C" w:rsidP="00C34043">
            <w:pPr>
              <w:spacing w:before="120" w:after="120" w:line="276" w:lineRule="auto"/>
              <w:ind w:left="57" w:right="57"/>
              <w:jc w:val="center"/>
              <w:rPr>
                <w:rFonts w:eastAsia="Arial"/>
                <w:color w:val="000000" w:themeColor="text1"/>
                <w:szCs w:val="22"/>
              </w:rPr>
            </w:pPr>
            <w:r w:rsidRPr="0086218D">
              <w:rPr>
                <w:rFonts w:eastAsia="Arial"/>
                <w:color w:val="000000" w:themeColor="text1"/>
                <w:szCs w:val="22"/>
              </w:rPr>
              <w:t>Author &amp; Reviewer fields added to title table + changed writing to state ‘SOPS (MMUHTA</w:t>
            </w:r>
            <w:r w:rsidR="00C34043">
              <w:rPr>
                <w:rFonts w:eastAsia="Arial"/>
                <w:color w:val="000000" w:themeColor="text1"/>
                <w:szCs w:val="22"/>
              </w:rPr>
              <w:t>_</w:t>
            </w:r>
            <w:r w:rsidRPr="0086218D">
              <w:rPr>
                <w:rFonts w:eastAsia="Arial"/>
                <w:color w:val="000000" w:themeColor="text1"/>
                <w:szCs w:val="22"/>
              </w:rPr>
              <w:t>001 – MMUHTA</w:t>
            </w:r>
            <w:r w:rsidR="00C34043">
              <w:rPr>
                <w:rFonts w:eastAsia="Arial"/>
                <w:color w:val="000000" w:themeColor="text1"/>
                <w:szCs w:val="22"/>
              </w:rPr>
              <w:t>_</w:t>
            </w:r>
            <w:r w:rsidRPr="0086218D">
              <w:rPr>
                <w:rFonts w:eastAsia="Arial"/>
                <w:color w:val="000000" w:themeColor="text1"/>
                <w:szCs w:val="22"/>
              </w:rPr>
              <w:t>019)’ rather than SOPs (MMU-HTA001 – MMU-HTA018)</w:t>
            </w:r>
            <w:r w:rsidR="00C34043">
              <w:rPr>
                <w:rFonts w:eastAsia="Arial"/>
                <w:color w:val="000000" w:themeColor="text1"/>
                <w:szCs w:val="22"/>
              </w:rPr>
              <w:t xml:space="preserve"> + Minor grammatical &amp; formatting changes</w:t>
            </w:r>
          </w:p>
        </w:tc>
        <w:tc>
          <w:tcPr>
            <w:tcW w:w="1072" w:type="pct"/>
            <w:vAlign w:val="center"/>
          </w:tcPr>
          <w:p w14:paraId="124D6DA9" w14:textId="3DF9670E" w:rsidR="0034130C" w:rsidRPr="0086218D" w:rsidRDefault="00C34043" w:rsidP="00C34043">
            <w:pPr>
              <w:spacing w:before="120" w:after="120" w:line="276" w:lineRule="auto"/>
              <w:ind w:left="57" w:right="57"/>
              <w:jc w:val="center"/>
              <w:rPr>
                <w:rFonts w:eastAsia="Arial"/>
                <w:color w:val="000000" w:themeColor="text1"/>
                <w:szCs w:val="22"/>
              </w:rPr>
            </w:pPr>
            <w:r>
              <w:rPr>
                <w:rFonts w:eastAsia="Arial"/>
                <w:color w:val="000000" w:themeColor="text1"/>
                <w:szCs w:val="22"/>
              </w:rPr>
              <w:t>2</w:t>
            </w:r>
            <w:r w:rsidRPr="00C34043">
              <w:rPr>
                <w:rFonts w:eastAsia="Arial"/>
                <w:color w:val="000000" w:themeColor="text1"/>
                <w:szCs w:val="22"/>
                <w:vertAlign w:val="superscript"/>
              </w:rPr>
              <w:t>nd</w:t>
            </w:r>
            <w:r>
              <w:rPr>
                <w:rFonts w:eastAsia="Arial"/>
                <w:color w:val="000000" w:themeColor="text1"/>
                <w:szCs w:val="22"/>
              </w:rPr>
              <w:t xml:space="preserve"> March, 2023</w:t>
            </w:r>
          </w:p>
        </w:tc>
      </w:tr>
      <w:tr w:rsidR="0CFAC6FE" w:rsidRPr="0086218D" w14:paraId="7CB6750A" w14:textId="77777777" w:rsidTr="006703A5">
        <w:tc>
          <w:tcPr>
            <w:tcW w:w="631" w:type="pct"/>
            <w:vAlign w:val="center"/>
          </w:tcPr>
          <w:p w14:paraId="2E4791CA" w14:textId="0B8255B3" w:rsidR="0CFAC6FE" w:rsidRPr="0086218D" w:rsidRDefault="0CFAC6FE" w:rsidP="00C34043">
            <w:pPr>
              <w:spacing w:before="120" w:after="120" w:line="276" w:lineRule="auto"/>
              <w:ind w:left="57" w:right="57"/>
              <w:jc w:val="center"/>
              <w:rPr>
                <w:rFonts w:eastAsia="Arial"/>
                <w:color w:val="000000" w:themeColor="text1"/>
                <w:szCs w:val="22"/>
              </w:rPr>
            </w:pPr>
          </w:p>
        </w:tc>
        <w:tc>
          <w:tcPr>
            <w:tcW w:w="3297" w:type="pct"/>
            <w:vAlign w:val="center"/>
          </w:tcPr>
          <w:p w14:paraId="1814B4BC" w14:textId="0C84F4B6" w:rsidR="0CFAC6FE" w:rsidRPr="0086218D" w:rsidRDefault="0CFAC6FE" w:rsidP="00C34043">
            <w:pPr>
              <w:spacing w:before="120" w:after="120" w:line="276" w:lineRule="auto"/>
              <w:ind w:left="57" w:right="57"/>
              <w:jc w:val="center"/>
              <w:rPr>
                <w:rFonts w:eastAsia="Arial"/>
                <w:color w:val="000000" w:themeColor="text1"/>
                <w:szCs w:val="22"/>
              </w:rPr>
            </w:pPr>
          </w:p>
        </w:tc>
        <w:tc>
          <w:tcPr>
            <w:tcW w:w="1072" w:type="pct"/>
            <w:vAlign w:val="center"/>
          </w:tcPr>
          <w:p w14:paraId="6571A4EC" w14:textId="7F6F51FC" w:rsidR="0CFAC6FE" w:rsidRPr="0086218D" w:rsidRDefault="0CFAC6FE" w:rsidP="00C34043">
            <w:pPr>
              <w:spacing w:before="120" w:after="120" w:line="276" w:lineRule="auto"/>
              <w:ind w:left="57" w:right="57"/>
              <w:jc w:val="center"/>
              <w:rPr>
                <w:rFonts w:eastAsia="Arial"/>
                <w:color w:val="000000" w:themeColor="text1"/>
                <w:szCs w:val="22"/>
              </w:rPr>
            </w:pPr>
          </w:p>
        </w:tc>
      </w:tr>
    </w:tbl>
    <w:p w14:paraId="39F00568" w14:textId="3E442819" w:rsidR="0CFAC6FE" w:rsidRDefault="0CFAC6FE" w:rsidP="0CFAC6FE">
      <w:pPr>
        <w:pStyle w:val="Default"/>
        <w:jc w:val="both"/>
        <w:rPr>
          <w:b/>
          <w:bCs/>
          <w:color w:val="auto"/>
        </w:rPr>
      </w:pPr>
    </w:p>
    <w:p w14:paraId="57C32112" w14:textId="73D88F25" w:rsidR="00EC2E7B" w:rsidRDefault="00EC2E7B" w:rsidP="0CFAC6FE">
      <w:pPr>
        <w:pStyle w:val="Default"/>
        <w:jc w:val="both"/>
        <w:rPr>
          <w:b/>
          <w:bCs/>
          <w:color w:val="auto"/>
        </w:rPr>
      </w:pPr>
    </w:p>
    <w:p w14:paraId="55F875F3" w14:textId="7DD1C472" w:rsidR="00EC2E7B" w:rsidRDefault="00EC2E7B" w:rsidP="0CFAC6FE">
      <w:pPr>
        <w:pStyle w:val="Default"/>
        <w:jc w:val="both"/>
        <w:rPr>
          <w:b/>
          <w:bCs/>
          <w:color w:val="auto"/>
        </w:rPr>
      </w:pPr>
    </w:p>
    <w:p w14:paraId="09A5B1FB" w14:textId="34A9AF32" w:rsidR="00EC2E7B" w:rsidRDefault="00EC2E7B" w:rsidP="0CFAC6FE">
      <w:pPr>
        <w:pStyle w:val="Default"/>
        <w:jc w:val="both"/>
        <w:rPr>
          <w:b/>
          <w:bCs/>
          <w:color w:val="auto"/>
        </w:rPr>
      </w:pPr>
    </w:p>
    <w:p w14:paraId="6CB2CFCD" w14:textId="22DAE5FC" w:rsidR="00EC2E7B" w:rsidRDefault="00EC2E7B" w:rsidP="0CFAC6FE">
      <w:pPr>
        <w:pStyle w:val="Default"/>
        <w:jc w:val="both"/>
        <w:rPr>
          <w:b/>
          <w:bCs/>
          <w:color w:val="auto"/>
        </w:rPr>
      </w:pPr>
    </w:p>
    <w:p w14:paraId="42B5A76C" w14:textId="4DE4C0E3" w:rsidR="00EC2E7B" w:rsidRDefault="00EC2E7B" w:rsidP="0CFAC6FE">
      <w:pPr>
        <w:pStyle w:val="Default"/>
        <w:jc w:val="both"/>
        <w:rPr>
          <w:b/>
          <w:bCs/>
          <w:color w:val="auto"/>
        </w:rPr>
      </w:pPr>
    </w:p>
    <w:p w14:paraId="5BC89875" w14:textId="398DB219" w:rsidR="00EC2E7B" w:rsidRDefault="00EC2E7B" w:rsidP="0CFAC6FE">
      <w:pPr>
        <w:pStyle w:val="Default"/>
        <w:jc w:val="both"/>
        <w:rPr>
          <w:b/>
          <w:bCs/>
          <w:color w:val="auto"/>
        </w:rPr>
      </w:pPr>
    </w:p>
    <w:p w14:paraId="0BF62AA6" w14:textId="7DCED34E" w:rsidR="00EC2E7B" w:rsidRDefault="00EC2E7B" w:rsidP="0CFAC6FE">
      <w:pPr>
        <w:pStyle w:val="Default"/>
        <w:jc w:val="both"/>
        <w:rPr>
          <w:b/>
          <w:bCs/>
          <w:color w:val="auto"/>
        </w:rPr>
      </w:pPr>
    </w:p>
    <w:p w14:paraId="028D4F9A" w14:textId="02336898" w:rsidR="00EC2E7B" w:rsidRDefault="00EC2E7B" w:rsidP="0CFAC6FE">
      <w:pPr>
        <w:pStyle w:val="Default"/>
        <w:jc w:val="both"/>
        <w:rPr>
          <w:b/>
          <w:bCs/>
          <w:color w:val="auto"/>
        </w:rPr>
      </w:pPr>
    </w:p>
    <w:p w14:paraId="094031B1" w14:textId="7EBF0CB0" w:rsidR="00EC2E7B" w:rsidRDefault="00EC2E7B" w:rsidP="0CFAC6FE">
      <w:pPr>
        <w:pStyle w:val="Default"/>
        <w:jc w:val="both"/>
        <w:rPr>
          <w:b/>
          <w:bCs/>
          <w:color w:val="auto"/>
        </w:rPr>
      </w:pPr>
    </w:p>
    <w:p w14:paraId="0256B9C4" w14:textId="54213EFC" w:rsidR="00EC2E7B" w:rsidRDefault="00EC2E7B" w:rsidP="0CFAC6FE">
      <w:pPr>
        <w:pStyle w:val="Default"/>
        <w:jc w:val="both"/>
        <w:rPr>
          <w:b/>
          <w:bCs/>
          <w:color w:val="auto"/>
        </w:rPr>
      </w:pPr>
    </w:p>
    <w:p w14:paraId="1A7A3EE4" w14:textId="5ECB662D" w:rsidR="00EC2E7B" w:rsidRDefault="00EC2E7B" w:rsidP="0CFAC6FE">
      <w:pPr>
        <w:pStyle w:val="Default"/>
        <w:jc w:val="both"/>
        <w:rPr>
          <w:b/>
          <w:bCs/>
          <w:color w:val="auto"/>
        </w:rPr>
      </w:pPr>
    </w:p>
    <w:p w14:paraId="3C1BB2C6" w14:textId="0DA63B63" w:rsidR="00EC2E7B" w:rsidRDefault="00EC2E7B" w:rsidP="0CFAC6FE">
      <w:pPr>
        <w:pStyle w:val="Default"/>
        <w:jc w:val="both"/>
        <w:rPr>
          <w:b/>
          <w:bCs/>
          <w:color w:val="auto"/>
        </w:rPr>
      </w:pPr>
    </w:p>
    <w:p w14:paraId="3D40F631" w14:textId="00319C9B" w:rsidR="00EC2E7B" w:rsidRDefault="00EC2E7B" w:rsidP="0CFAC6FE">
      <w:pPr>
        <w:pStyle w:val="Default"/>
        <w:jc w:val="both"/>
        <w:rPr>
          <w:b/>
          <w:bCs/>
          <w:color w:val="auto"/>
        </w:rPr>
      </w:pPr>
    </w:p>
    <w:p w14:paraId="0A51A1E1" w14:textId="78BBF7B9" w:rsidR="00EC2E7B" w:rsidRDefault="00EC2E7B" w:rsidP="0CFAC6FE">
      <w:pPr>
        <w:pStyle w:val="Default"/>
        <w:jc w:val="both"/>
        <w:rPr>
          <w:b/>
          <w:bCs/>
          <w:color w:val="auto"/>
        </w:rPr>
      </w:pPr>
    </w:p>
    <w:p w14:paraId="5E1B6B42" w14:textId="5CEEA5A8" w:rsidR="00EC2E7B" w:rsidRDefault="00EC2E7B" w:rsidP="0CFAC6FE">
      <w:pPr>
        <w:pStyle w:val="Default"/>
        <w:jc w:val="both"/>
        <w:rPr>
          <w:b/>
          <w:bCs/>
          <w:color w:val="auto"/>
        </w:rPr>
      </w:pPr>
    </w:p>
    <w:p w14:paraId="4A560056" w14:textId="6057C911" w:rsidR="00EC2E7B" w:rsidRDefault="00EC2E7B" w:rsidP="0CFAC6FE">
      <w:pPr>
        <w:pStyle w:val="Default"/>
        <w:jc w:val="both"/>
        <w:rPr>
          <w:b/>
          <w:bCs/>
          <w:color w:val="auto"/>
        </w:rPr>
      </w:pPr>
    </w:p>
    <w:p w14:paraId="16A13E7B" w14:textId="77777777" w:rsidR="00EC2E7B" w:rsidRDefault="00EC2E7B" w:rsidP="0CFAC6FE">
      <w:pPr>
        <w:pStyle w:val="Default"/>
        <w:jc w:val="both"/>
        <w:rPr>
          <w:b/>
          <w:bCs/>
          <w:color w:val="auto"/>
        </w:rPr>
      </w:pPr>
    </w:p>
    <w:sectPr w:rsidR="00EC2E7B" w:rsidSect="00B95153">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6374" w14:textId="77777777" w:rsidR="00F02220" w:rsidRDefault="00F02220" w:rsidP="00DE0B61">
      <w:r>
        <w:separator/>
      </w:r>
    </w:p>
  </w:endnote>
  <w:endnote w:type="continuationSeparator" w:id="0">
    <w:p w14:paraId="6EAFAD9A" w14:textId="77777777" w:rsidR="00F02220" w:rsidRDefault="00F02220" w:rsidP="00DE0B61">
      <w:r>
        <w:continuationSeparator/>
      </w:r>
    </w:p>
  </w:endnote>
  <w:endnote w:type="continuationNotice" w:id="1">
    <w:p w14:paraId="7DBF9424" w14:textId="77777777" w:rsidR="00F02220" w:rsidRDefault="00F0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7CF5" w14:textId="3164416F" w:rsidR="00DE0B61" w:rsidRDefault="000E3610">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8240" behindDoc="1" locked="0" layoutInCell="1" allowOverlap="1" wp14:anchorId="6E2F1CFB" wp14:editId="5650B427">
              <wp:simplePos x="0" y="0"/>
              <wp:positionH relativeFrom="column">
                <wp:posOffset>3252651</wp:posOffset>
              </wp:positionH>
              <wp:positionV relativeFrom="paragraph">
                <wp:posOffset>45811</wp:posOffset>
              </wp:positionV>
              <wp:extent cx="3350079" cy="6752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079" cy="675249"/>
                      </a:xfrm>
                      <a:prstGeom prst="rect">
                        <a:avLst/>
                      </a:prstGeom>
                      <a:noFill/>
                      <a:ln w="9525">
                        <a:noFill/>
                        <a:miter lim="800000"/>
                        <a:headEnd/>
                        <a:tailEnd/>
                      </a:ln>
                    </wps:spPr>
                    <wps:txbx>
                      <w:txbxContent>
                        <w:p w14:paraId="011567D8" w14:textId="77777777" w:rsidR="000E3610" w:rsidRPr="00DC2D1E" w:rsidRDefault="000E3610" w:rsidP="000E3610">
                          <w:pPr>
                            <w:ind w:left="851"/>
                            <w:rPr>
                              <w:sz w:val="18"/>
                              <w:szCs w:val="18"/>
                            </w:rPr>
                          </w:pPr>
                          <w:r w:rsidRPr="00DC2D1E">
                            <w:rPr>
                              <w:sz w:val="18"/>
                              <w:szCs w:val="18"/>
                            </w:rPr>
                            <w:t xml:space="preserve">Current only on day of printing </w:t>
                          </w:r>
                        </w:p>
                        <w:p w14:paraId="2D3D8C15" w14:textId="77777777" w:rsidR="000E3610" w:rsidRDefault="000E3610" w:rsidP="000E3610">
                          <w:pPr>
                            <w:ind w:left="851"/>
                            <w:rPr>
                              <w:sz w:val="18"/>
                              <w:szCs w:val="18"/>
                            </w:rPr>
                          </w:pPr>
                          <w:r w:rsidRPr="00DC2D1E">
                            <w:rPr>
                              <w:sz w:val="18"/>
                              <w:szCs w:val="18"/>
                            </w:rPr>
                            <w:t xml:space="preserve">Check the University website for most recent version </w:t>
                          </w:r>
                        </w:p>
                        <w:p w14:paraId="2D33C777" w14:textId="6B255BC0" w:rsidR="000E3610" w:rsidRPr="00DC2D1E" w:rsidRDefault="000E3610" w:rsidP="000E3610">
                          <w:pPr>
                            <w:ind w:left="851"/>
                            <w:rPr>
                              <w:sz w:val="18"/>
                              <w:szCs w:val="18"/>
                            </w:rPr>
                          </w:pPr>
                          <w:r>
                            <w:rPr>
                              <w:sz w:val="18"/>
                              <w:szCs w:val="18"/>
                            </w:rPr>
                            <w:t>V1</w:t>
                          </w:r>
                          <w:r w:rsidR="00C34043">
                            <w:rPr>
                              <w:sz w:val="18"/>
                              <w:szCs w:val="18"/>
                            </w:rPr>
                            <w:t>.3 2</w:t>
                          </w:r>
                          <w:r w:rsidR="00C34043" w:rsidRPr="00C34043">
                            <w:rPr>
                              <w:sz w:val="18"/>
                              <w:szCs w:val="18"/>
                              <w:vertAlign w:val="superscript"/>
                            </w:rPr>
                            <w:t>nd</w:t>
                          </w:r>
                          <w:r w:rsidR="00C34043">
                            <w:rPr>
                              <w:sz w:val="18"/>
                              <w:szCs w:val="18"/>
                            </w:rPr>
                            <w:t xml:space="preserve">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F1CFB" id="_x0000_t202" coordsize="21600,21600" o:spt="202" path="m,l,21600r21600,l21600,xe">
              <v:stroke joinstyle="miter"/>
              <v:path gradientshapeok="t" o:connecttype="rect"/>
            </v:shapetype>
            <v:shape id="Text Box 2" o:spid="_x0000_s1026" type="#_x0000_t202" style="position:absolute;left:0;text-align:left;margin-left:256.1pt;margin-top:3.6pt;width:263.8pt;height:5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" filled="f" stroked="f">
              <v:textbox>
                <w:txbxContent>
                  <w:p w14:paraId="011567D8" w14:textId="77777777" w:rsidR="000E3610" w:rsidRPr="00DC2D1E" w:rsidRDefault="000E3610" w:rsidP="000E3610">
                    <w:pPr>
                      <w:ind w:left="851"/>
                      <w:rPr>
                        <w:sz w:val="18"/>
                        <w:szCs w:val="18"/>
                      </w:rPr>
                    </w:pPr>
                    <w:r w:rsidRPr="00DC2D1E">
                      <w:rPr>
                        <w:sz w:val="18"/>
                        <w:szCs w:val="18"/>
                      </w:rPr>
                      <w:t xml:space="preserve">Current only on day of printing </w:t>
                    </w:r>
                  </w:p>
                  <w:p w14:paraId="2D3D8C15" w14:textId="77777777" w:rsidR="000E3610" w:rsidRDefault="000E3610" w:rsidP="000E3610">
                    <w:pPr>
                      <w:ind w:left="851"/>
                      <w:rPr>
                        <w:sz w:val="18"/>
                        <w:szCs w:val="18"/>
                      </w:rPr>
                    </w:pPr>
                    <w:r w:rsidRPr="00DC2D1E">
                      <w:rPr>
                        <w:sz w:val="18"/>
                        <w:szCs w:val="18"/>
                      </w:rPr>
                      <w:t xml:space="preserve">Check the University website for most recent version </w:t>
                    </w:r>
                  </w:p>
                  <w:p w14:paraId="2D33C777" w14:textId="6B255BC0" w:rsidR="000E3610" w:rsidRPr="00DC2D1E" w:rsidRDefault="000E3610" w:rsidP="000E3610">
                    <w:pPr>
                      <w:ind w:left="851"/>
                      <w:rPr>
                        <w:sz w:val="18"/>
                        <w:szCs w:val="18"/>
                      </w:rPr>
                    </w:pPr>
                    <w:r>
                      <w:rPr>
                        <w:sz w:val="18"/>
                        <w:szCs w:val="18"/>
                      </w:rPr>
                      <w:t>V1</w:t>
                    </w:r>
                    <w:r w:rsidR="00C34043">
                      <w:rPr>
                        <w:sz w:val="18"/>
                        <w:szCs w:val="18"/>
                      </w:rPr>
                      <w:t>.3 2</w:t>
                    </w:r>
                    <w:r w:rsidR="00C34043" w:rsidRPr="00C34043">
                      <w:rPr>
                        <w:sz w:val="18"/>
                        <w:szCs w:val="18"/>
                        <w:vertAlign w:val="superscript"/>
                      </w:rPr>
                      <w:t>nd</w:t>
                    </w:r>
                    <w:r w:rsidR="00C34043">
                      <w:rPr>
                        <w:sz w:val="18"/>
                        <w:szCs w:val="18"/>
                      </w:rPr>
                      <w:t xml:space="preserve"> March 2023</w:t>
                    </w:r>
                  </w:p>
                </w:txbxContent>
              </v:textbox>
            </v:shape>
          </w:pict>
        </mc:Fallback>
      </mc:AlternateContent>
    </w:r>
    <w:sdt>
      <w:sdtPr>
        <w:id w:val="-1534271337"/>
        <w:docPartObj>
          <w:docPartGallery w:val="Page Numbers (Bottom of Page)"/>
          <w:docPartUnique/>
        </w:docPartObj>
      </w:sdtPr>
      <w:sdtEndPr>
        <w:rPr>
          <w:color w:val="7F7F7F" w:themeColor="background1" w:themeShade="7F"/>
          <w:spacing w:val="60"/>
        </w:rPr>
      </w:sdtEndPr>
      <w:sdtContent>
        <w:r w:rsidR="00DE0B61">
          <w:fldChar w:fldCharType="begin"/>
        </w:r>
        <w:r w:rsidR="00DE0B61">
          <w:instrText xml:space="preserve"> PAGE   \* MERGEFORMAT </w:instrText>
        </w:r>
        <w:r w:rsidR="00DE0B61">
          <w:fldChar w:fldCharType="separate"/>
        </w:r>
        <w:r w:rsidR="00301192" w:rsidRPr="00301192">
          <w:rPr>
            <w:b/>
            <w:bCs/>
            <w:noProof/>
          </w:rPr>
          <w:t>1</w:t>
        </w:r>
        <w:r w:rsidR="00DE0B61">
          <w:rPr>
            <w:b/>
            <w:bCs/>
            <w:noProof/>
          </w:rPr>
          <w:fldChar w:fldCharType="end"/>
        </w:r>
        <w:r w:rsidR="00DE0B61">
          <w:rPr>
            <w:b/>
            <w:bCs/>
          </w:rPr>
          <w:t xml:space="preserve"> | </w:t>
        </w:r>
        <w:r w:rsidR="00DE0B61">
          <w:rPr>
            <w:color w:val="7F7F7F" w:themeColor="background1" w:themeShade="7F"/>
            <w:spacing w:val="60"/>
          </w:rPr>
          <w:t>Page</w:t>
        </w:r>
      </w:sdtContent>
    </w:sdt>
  </w:p>
  <w:p w14:paraId="46A8B2E5" w14:textId="77777777" w:rsidR="00DE0B61" w:rsidRDefault="00DE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E2F8" w14:textId="77777777" w:rsidR="00F02220" w:rsidRDefault="00F02220" w:rsidP="00DE0B61">
      <w:r>
        <w:separator/>
      </w:r>
    </w:p>
  </w:footnote>
  <w:footnote w:type="continuationSeparator" w:id="0">
    <w:p w14:paraId="03A8E400" w14:textId="77777777" w:rsidR="00F02220" w:rsidRDefault="00F02220" w:rsidP="00DE0B61">
      <w:r>
        <w:continuationSeparator/>
      </w:r>
    </w:p>
  </w:footnote>
  <w:footnote w:type="continuationNotice" w:id="1">
    <w:p w14:paraId="7BD8B506" w14:textId="77777777" w:rsidR="00F02220" w:rsidRDefault="00F02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3635" w14:textId="58DADC67" w:rsidR="00DE0B61" w:rsidRPr="00DE0B61" w:rsidRDefault="00DE0B61">
    <w:pPr>
      <w:pStyle w:val="Header"/>
      <w:jc w:val="right"/>
      <w:rPr>
        <w:caps/>
      </w:rPr>
    </w:pPr>
  </w:p>
  <w:p w14:paraId="654D5CBA" w14:textId="008A0DBB" w:rsidR="00DE0B61" w:rsidRPr="00DE0B61" w:rsidRDefault="00CC66B7">
    <w:pPr>
      <w:pStyle w:val="Header"/>
      <w:jc w:val="center"/>
      <w:rPr>
        <w:b/>
        <w:sz w:val="28"/>
        <w:szCs w:val="28"/>
      </w:rPr>
    </w:pPr>
    <w:sdt>
      <w:sdtPr>
        <w:rPr>
          <w:b/>
          <w:caps/>
          <w:sz w:val="28"/>
          <w:szCs w:val="28"/>
        </w:rPr>
        <w:alias w:val="Title"/>
        <w:tag w:val=""/>
        <w:id w:val="-484788024"/>
        <w:placeholder>
          <w:docPart w:val="EF227F15BA97497CB2533229E1AD2D23"/>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301192">
          <w:rPr>
            <w:b/>
            <w:caps/>
            <w:sz w:val="28"/>
            <w:szCs w:val="28"/>
          </w:rPr>
          <w:t>MMUHTA</w:t>
        </w:r>
        <w:r w:rsidR="00540B14">
          <w:rPr>
            <w:b/>
            <w:caps/>
            <w:sz w:val="28"/>
            <w:szCs w:val="28"/>
          </w:rPr>
          <w:t>_</w:t>
        </w:r>
        <w:r w:rsidR="00301192">
          <w:rPr>
            <w:b/>
            <w:caps/>
            <w:sz w:val="28"/>
            <w:szCs w:val="28"/>
          </w:rPr>
          <w:t>008</w:t>
        </w:r>
      </w:sdtContent>
    </w:sdt>
  </w:p>
  <w:p w14:paraId="4FD9EC8D" w14:textId="77777777" w:rsidR="00DE0B61" w:rsidRDefault="00DE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10FC"/>
    <w:multiLevelType w:val="hybridMultilevel"/>
    <w:tmpl w:val="77B4B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DD3988"/>
    <w:multiLevelType w:val="hybridMultilevel"/>
    <w:tmpl w:val="CF6C1AC6"/>
    <w:lvl w:ilvl="0" w:tplc="7DB28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42CF6"/>
    <w:multiLevelType w:val="hybridMultilevel"/>
    <w:tmpl w:val="0AC6D268"/>
    <w:lvl w:ilvl="0" w:tplc="7DB28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D529F"/>
    <w:multiLevelType w:val="hybridMultilevel"/>
    <w:tmpl w:val="A4C81C3C"/>
    <w:lvl w:ilvl="0" w:tplc="7DB28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C1519"/>
    <w:multiLevelType w:val="hybridMultilevel"/>
    <w:tmpl w:val="1EF62D32"/>
    <w:lvl w:ilvl="0" w:tplc="7DB28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05FE3"/>
    <w:multiLevelType w:val="hybridMultilevel"/>
    <w:tmpl w:val="840A1C48"/>
    <w:lvl w:ilvl="0" w:tplc="7DB28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80268">
    <w:abstractNumId w:val="0"/>
  </w:num>
  <w:num w:numId="2" w16cid:durableId="1440098867">
    <w:abstractNumId w:val="2"/>
  </w:num>
  <w:num w:numId="3" w16cid:durableId="46490108">
    <w:abstractNumId w:val="1"/>
  </w:num>
  <w:num w:numId="4" w16cid:durableId="1741248981">
    <w:abstractNumId w:val="5"/>
  </w:num>
  <w:num w:numId="5" w16cid:durableId="805974615">
    <w:abstractNumId w:val="3"/>
  </w:num>
  <w:num w:numId="6" w16cid:durableId="1327786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29"/>
    <w:rsid w:val="0000545F"/>
    <w:rsid w:val="00033A6A"/>
    <w:rsid w:val="00046169"/>
    <w:rsid w:val="00055049"/>
    <w:rsid w:val="00060721"/>
    <w:rsid w:val="00073550"/>
    <w:rsid w:val="000927A2"/>
    <w:rsid w:val="00095487"/>
    <w:rsid w:val="000C0701"/>
    <w:rsid w:val="000C4EE6"/>
    <w:rsid w:val="000D0238"/>
    <w:rsid w:val="000D67D4"/>
    <w:rsid w:val="000E3610"/>
    <w:rsid w:val="000E5E3E"/>
    <w:rsid w:val="000F3368"/>
    <w:rsid w:val="001011BF"/>
    <w:rsid w:val="00127B6F"/>
    <w:rsid w:val="00151724"/>
    <w:rsid w:val="00181700"/>
    <w:rsid w:val="00195841"/>
    <w:rsid w:val="001A71A4"/>
    <w:rsid w:val="001A7785"/>
    <w:rsid w:val="001B0036"/>
    <w:rsid w:val="001B4880"/>
    <w:rsid w:val="001D2093"/>
    <w:rsid w:val="001D64C3"/>
    <w:rsid w:val="001E0B09"/>
    <w:rsid w:val="00247E5D"/>
    <w:rsid w:val="0025388B"/>
    <w:rsid w:val="00253A8A"/>
    <w:rsid w:val="00262CAB"/>
    <w:rsid w:val="0029635D"/>
    <w:rsid w:val="002A4E28"/>
    <w:rsid w:val="002B0D6C"/>
    <w:rsid w:val="002B5DE5"/>
    <w:rsid w:val="002C03A4"/>
    <w:rsid w:val="002C681F"/>
    <w:rsid w:val="00301192"/>
    <w:rsid w:val="00305473"/>
    <w:rsid w:val="00316C5B"/>
    <w:rsid w:val="0034130C"/>
    <w:rsid w:val="003437DF"/>
    <w:rsid w:val="00383E3C"/>
    <w:rsid w:val="003854DC"/>
    <w:rsid w:val="00387A46"/>
    <w:rsid w:val="003D18BF"/>
    <w:rsid w:val="003E7009"/>
    <w:rsid w:val="00424684"/>
    <w:rsid w:val="004372CC"/>
    <w:rsid w:val="004433FD"/>
    <w:rsid w:val="0047476D"/>
    <w:rsid w:val="004A51BC"/>
    <w:rsid w:val="004B490D"/>
    <w:rsid w:val="004D77BC"/>
    <w:rsid w:val="00525D8C"/>
    <w:rsid w:val="00540B14"/>
    <w:rsid w:val="00550B1B"/>
    <w:rsid w:val="00552715"/>
    <w:rsid w:val="005A20B7"/>
    <w:rsid w:val="005B4994"/>
    <w:rsid w:val="005B7103"/>
    <w:rsid w:val="005C3D16"/>
    <w:rsid w:val="005C559D"/>
    <w:rsid w:val="005F019B"/>
    <w:rsid w:val="005F1DB2"/>
    <w:rsid w:val="005F46AA"/>
    <w:rsid w:val="005F6D2E"/>
    <w:rsid w:val="00606557"/>
    <w:rsid w:val="006703A5"/>
    <w:rsid w:val="00675875"/>
    <w:rsid w:val="00682CB6"/>
    <w:rsid w:val="00690E0A"/>
    <w:rsid w:val="00691B3B"/>
    <w:rsid w:val="006A4701"/>
    <w:rsid w:val="006B53C0"/>
    <w:rsid w:val="006D2883"/>
    <w:rsid w:val="00763E6D"/>
    <w:rsid w:val="007B7F2F"/>
    <w:rsid w:val="007C5D34"/>
    <w:rsid w:val="007E30EB"/>
    <w:rsid w:val="007E74AC"/>
    <w:rsid w:val="00823DCB"/>
    <w:rsid w:val="00830C61"/>
    <w:rsid w:val="0083386C"/>
    <w:rsid w:val="00851701"/>
    <w:rsid w:val="0086218D"/>
    <w:rsid w:val="008B770B"/>
    <w:rsid w:val="008E3A29"/>
    <w:rsid w:val="008F230F"/>
    <w:rsid w:val="00915326"/>
    <w:rsid w:val="00922E75"/>
    <w:rsid w:val="00937A08"/>
    <w:rsid w:val="0095608A"/>
    <w:rsid w:val="009947E3"/>
    <w:rsid w:val="009E0738"/>
    <w:rsid w:val="00A21483"/>
    <w:rsid w:val="00A31C50"/>
    <w:rsid w:val="00A67283"/>
    <w:rsid w:val="00A71993"/>
    <w:rsid w:val="00AD2EF0"/>
    <w:rsid w:val="00AE58C2"/>
    <w:rsid w:val="00AF120A"/>
    <w:rsid w:val="00B254BE"/>
    <w:rsid w:val="00B2652E"/>
    <w:rsid w:val="00B43ED9"/>
    <w:rsid w:val="00B51E3C"/>
    <w:rsid w:val="00B95153"/>
    <w:rsid w:val="00BE633F"/>
    <w:rsid w:val="00C031D8"/>
    <w:rsid w:val="00C124B2"/>
    <w:rsid w:val="00C34043"/>
    <w:rsid w:val="00C50F5F"/>
    <w:rsid w:val="00C77EE8"/>
    <w:rsid w:val="00CA1539"/>
    <w:rsid w:val="00CA431A"/>
    <w:rsid w:val="00CB465D"/>
    <w:rsid w:val="00CC66B7"/>
    <w:rsid w:val="00CF2B6C"/>
    <w:rsid w:val="00D42B8A"/>
    <w:rsid w:val="00DC0DA8"/>
    <w:rsid w:val="00DD075F"/>
    <w:rsid w:val="00DD0F9D"/>
    <w:rsid w:val="00DE0B61"/>
    <w:rsid w:val="00E00BBE"/>
    <w:rsid w:val="00E43100"/>
    <w:rsid w:val="00E6125B"/>
    <w:rsid w:val="00E6167C"/>
    <w:rsid w:val="00E632AD"/>
    <w:rsid w:val="00E70E65"/>
    <w:rsid w:val="00E726D2"/>
    <w:rsid w:val="00EB03D0"/>
    <w:rsid w:val="00EB57A3"/>
    <w:rsid w:val="00EC2E7B"/>
    <w:rsid w:val="00EF5C93"/>
    <w:rsid w:val="00F02220"/>
    <w:rsid w:val="00F06F47"/>
    <w:rsid w:val="00F2316B"/>
    <w:rsid w:val="00F34321"/>
    <w:rsid w:val="00F46283"/>
    <w:rsid w:val="00F473EE"/>
    <w:rsid w:val="00FC78DA"/>
    <w:rsid w:val="00FD0557"/>
    <w:rsid w:val="00FF5C87"/>
    <w:rsid w:val="0672F274"/>
    <w:rsid w:val="0A66163D"/>
    <w:rsid w:val="0CFAC6FE"/>
    <w:rsid w:val="0F5A7600"/>
    <w:rsid w:val="13E73ECC"/>
    <w:rsid w:val="1DB3A8F3"/>
    <w:rsid w:val="1E11ECF4"/>
    <w:rsid w:val="1F363BD8"/>
    <w:rsid w:val="20ABF4C0"/>
    <w:rsid w:val="231DD78E"/>
    <w:rsid w:val="25E781CD"/>
    <w:rsid w:val="26401D24"/>
    <w:rsid w:val="28E55299"/>
    <w:rsid w:val="312D636D"/>
    <w:rsid w:val="35A2AE5A"/>
    <w:rsid w:val="4B28DD22"/>
    <w:rsid w:val="4E98B137"/>
    <w:rsid w:val="4F4F0E4B"/>
    <w:rsid w:val="52EEC4A7"/>
    <w:rsid w:val="59555B0B"/>
    <w:rsid w:val="595B9AA7"/>
    <w:rsid w:val="5D04CB10"/>
    <w:rsid w:val="61CCB092"/>
    <w:rsid w:val="6AFA649C"/>
    <w:rsid w:val="6F13F014"/>
    <w:rsid w:val="702F3E96"/>
    <w:rsid w:val="707E708A"/>
    <w:rsid w:val="73B9B7A5"/>
    <w:rsid w:val="75423CC8"/>
    <w:rsid w:val="76248EBD"/>
    <w:rsid w:val="76CC5536"/>
    <w:rsid w:val="77C05F1E"/>
    <w:rsid w:val="78A8B48A"/>
    <w:rsid w:val="795C2F7F"/>
    <w:rsid w:val="7D645F8C"/>
    <w:rsid w:val="7D92B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77AED"/>
  <w15:docId w15:val="{5931C324-198C-4D49-92F2-F57CE1DE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09"/>
    <w:pPr>
      <w:jc w:val="both"/>
    </w:pPr>
    <w:rPr>
      <w:sz w:val="22"/>
    </w:rPr>
  </w:style>
  <w:style w:type="paragraph" w:styleId="Heading1">
    <w:name w:val="heading 1"/>
    <w:basedOn w:val="Normal"/>
    <w:next w:val="Normal"/>
    <w:link w:val="Heading1Char"/>
    <w:uiPriority w:val="9"/>
    <w:qFormat/>
    <w:rsid w:val="003E7009"/>
    <w:pPr>
      <w:keepNext/>
      <w:keepLines/>
      <w:spacing w:before="240"/>
      <w:jc w:val="left"/>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E7009"/>
    <w:pPr>
      <w:keepNext/>
      <w:keepLines/>
      <w:spacing w:before="40"/>
      <w:jc w:val="left"/>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29"/>
    <w:pPr>
      <w:autoSpaceDE w:val="0"/>
      <w:autoSpaceDN w:val="0"/>
      <w:adjustRightInd w:val="0"/>
    </w:pPr>
    <w:rPr>
      <w:color w:val="000000"/>
    </w:rPr>
  </w:style>
  <w:style w:type="character" w:styleId="Hyperlink">
    <w:name w:val="Hyperlink"/>
    <w:basedOn w:val="DefaultParagraphFont"/>
    <w:uiPriority w:val="99"/>
    <w:unhideWhenUsed/>
    <w:rsid w:val="00606557"/>
    <w:rPr>
      <w:color w:val="0000FF" w:themeColor="hyperlink"/>
      <w:u w:val="single"/>
    </w:rPr>
  </w:style>
  <w:style w:type="paragraph" w:styleId="BalloonText">
    <w:name w:val="Balloon Text"/>
    <w:basedOn w:val="Normal"/>
    <w:link w:val="BalloonTextChar"/>
    <w:uiPriority w:val="99"/>
    <w:semiHidden/>
    <w:unhideWhenUsed/>
    <w:rsid w:val="002A4E28"/>
    <w:rPr>
      <w:rFonts w:ascii="Tahoma" w:hAnsi="Tahoma" w:cs="Tahoma"/>
      <w:sz w:val="16"/>
      <w:szCs w:val="16"/>
    </w:rPr>
  </w:style>
  <w:style w:type="character" w:customStyle="1" w:styleId="BalloonTextChar">
    <w:name w:val="Balloon Text Char"/>
    <w:basedOn w:val="DefaultParagraphFont"/>
    <w:link w:val="BalloonText"/>
    <w:uiPriority w:val="99"/>
    <w:semiHidden/>
    <w:rsid w:val="002A4E28"/>
    <w:rPr>
      <w:rFonts w:ascii="Tahoma" w:hAnsi="Tahoma" w:cs="Tahoma"/>
      <w:sz w:val="16"/>
      <w:szCs w:val="16"/>
    </w:rPr>
  </w:style>
  <w:style w:type="character" w:styleId="CommentReference">
    <w:name w:val="annotation reference"/>
    <w:basedOn w:val="DefaultParagraphFont"/>
    <w:uiPriority w:val="99"/>
    <w:semiHidden/>
    <w:unhideWhenUsed/>
    <w:rsid w:val="002B5DE5"/>
    <w:rPr>
      <w:sz w:val="16"/>
      <w:szCs w:val="16"/>
    </w:rPr>
  </w:style>
  <w:style w:type="paragraph" w:styleId="CommentText">
    <w:name w:val="annotation text"/>
    <w:basedOn w:val="Normal"/>
    <w:link w:val="CommentTextChar"/>
    <w:uiPriority w:val="99"/>
    <w:semiHidden/>
    <w:unhideWhenUsed/>
    <w:rsid w:val="002B5DE5"/>
    <w:rPr>
      <w:sz w:val="20"/>
      <w:szCs w:val="20"/>
    </w:rPr>
  </w:style>
  <w:style w:type="character" w:customStyle="1" w:styleId="CommentTextChar">
    <w:name w:val="Comment Text Char"/>
    <w:basedOn w:val="DefaultParagraphFont"/>
    <w:link w:val="CommentText"/>
    <w:uiPriority w:val="99"/>
    <w:semiHidden/>
    <w:rsid w:val="002B5DE5"/>
    <w:rPr>
      <w:sz w:val="20"/>
      <w:szCs w:val="20"/>
    </w:rPr>
  </w:style>
  <w:style w:type="paragraph" w:styleId="CommentSubject">
    <w:name w:val="annotation subject"/>
    <w:basedOn w:val="CommentText"/>
    <w:next w:val="CommentText"/>
    <w:link w:val="CommentSubjectChar"/>
    <w:uiPriority w:val="99"/>
    <w:semiHidden/>
    <w:unhideWhenUsed/>
    <w:rsid w:val="002B5DE5"/>
    <w:rPr>
      <w:b/>
      <w:bCs/>
    </w:rPr>
  </w:style>
  <w:style w:type="character" w:customStyle="1" w:styleId="CommentSubjectChar">
    <w:name w:val="Comment Subject Char"/>
    <w:basedOn w:val="CommentTextChar"/>
    <w:link w:val="CommentSubject"/>
    <w:uiPriority w:val="99"/>
    <w:semiHidden/>
    <w:rsid w:val="002B5DE5"/>
    <w:rPr>
      <w:b/>
      <w:bCs/>
      <w:sz w:val="20"/>
      <w:szCs w:val="20"/>
    </w:rPr>
  </w:style>
  <w:style w:type="character" w:styleId="FollowedHyperlink">
    <w:name w:val="FollowedHyperlink"/>
    <w:basedOn w:val="DefaultParagraphFont"/>
    <w:uiPriority w:val="99"/>
    <w:semiHidden/>
    <w:unhideWhenUsed/>
    <w:rsid w:val="00A71993"/>
    <w:rPr>
      <w:color w:val="800080" w:themeColor="followedHyperlink"/>
      <w:u w:val="single"/>
    </w:rPr>
  </w:style>
  <w:style w:type="paragraph" w:styleId="Header">
    <w:name w:val="header"/>
    <w:basedOn w:val="Normal"/>
    <w:link w:val="HeaderChar"/>
    <w:uiPriority w:val="99"/>
    <w:unhideWhenUsed/>
    <w:rsid w:val="00DE0B61"/>
    <w:pPr>
      <w:tabs>
        <w:tab w:val="center" w:pos="4513"/>
        <w:tab w:val="right" w:pos="9026"/>
      </w:tabs>
    </w:pPr>
  </w:style>
  <w:style w:type="character" w:customStyle="1" w:styleId="HeaderChar">
    <w:name w:val="Header Char"/>
    <w:basedOn w:val="DefaultParagraphFont"/>
    <w:link w:val="Header"/>
    <w:uiPriority w:val="99"/>
    <w:rsid w:val="00DE0B61"/>
  </w:style>
  <w:style w:type="paragraph" w:styleId="Footer">
    <w:name w:val="footer"/>
    <w:basedOn w:val="Normal"/>
    <w:link w:val="FooterChar"/>
    <w:uiPriority w:val="99"/>
    <w:unhideWhenUsed/>
    <w:rsid w:val="00DE0B61"/>
    <w:pPr>
      <w:tabs>
        <w:tab w:val="center" w:pos="4513"/>
        <w:tab w:val="right" w:pos="9026"/>
      </w:tabs>
    </w:pPr>
  </w:style>
  <w:style w:type="character" w:customStyle="1" w:styleId="FooterChar">
    <w:name w:val="Footer Char"/>
    <w:basedOn w:val="DefaultParagraphFont"/>
    <w:link w:val="Footer"/>
    <w:uiPriority w:val="99"/>
    <w:rsid w:val="00DE0B61"/>
  </w:style>
  <w:style w:type="character" w:styleId="PlaceholderText">
    <w:name w:val="Placeholder Text"/>
    <w:basedOn w:val="DefaultParagraphFont"/>
    <w:uiPriority w:val="99"/>
    <w:semiHidden/>
    <w:rsid w:val="00DE0B61"/>
    <w:rPr>
      <w:color w:val="808080"/>
    </w:rPr>
  </w:style>
  <w:style w:type="paragraph" w:styleId="ListParagraph">
    <w:name w:val="List Paragraph"/>
    <w:basedOn w:val="Normal"/>
    <w:uiPriority w:val="34"/>
    <w:qFormat/>
    <w:rsid w:val="00EC2E7B"/>
    <w:pPr>
      <w:spacing w:after="160" w:line="259" w:lineRule="auto"/>
      <w:ind w:left="720"/>
      <w:contextualSpacing/>
    </w:pPr>
    <w:rPr>
      <w:rFonts w:asciiTheme="minorHAnsi" w:hAnsiTheme="minorHAnsi" w:cstheme="minorBidi"/>
      <w:szCs w:val="22"/>
    </w:rPr>
  </w:style>
  <w:style w:type="character" w:styleId="UnresolvedMention">
    <w:name w:val="Unresolved Mention"/>
    <w:basedOn w:val="DefaultParagraphFont"/>
    <w:uiPriority w:val="99"/>
    <w:semiHidden/>
    <w:unhideWhenUsed/>
    <w:rsid w:val="00915326"/>
    <w:rPr>
      <w:color w:val="605E5C"/>
      <w:shd w:val="clear" w:color="auto" w:fill="E1DFDD"/>
    </w:rPr>
  </w:style>
  <w:style w:type="paragraph" w:customStyle="1" w:styleId="xmsonormal">
    <w:name w:val="x_msonormal"/>
    <w:basedOn w:val="Normal"/>
    <w:rsid w:val="007E30EB"/>
    <w:rPr>
      <w:rFonts w:ascii="Calibri" w:hAnsi="Calibri" w:cs="Calibri"/>
      <w:szCs w:val="22"/>
      <w:lang w:eastAsia="en-GB"/>
    </w:rPr>
  </w:style>
  <w:style w:type="character" w:styleId="Emphasis">
    <w:name w:val="Emphasis"/>
    <w:basedOn w:val="DefaultParagraphFont"/>
    <w:uiPriority w:val="20"/>
    <w:qFormat/>
    <w:rsid w:val="00922E75"/>
    <w:rPr>
      <w:i/>
      <w:iCs/>
    </w:rPr>
  </w:style>
  <w:style w:type="paragraph" w:styleId="Revision">
    <w:name w:val="Revision"/>
    <w:hidden/>
    <w:uiPriority w:val="99"/>
    <w:semiHidden/>
    <w:rsid w:val="0034130C"/>
  </w:style>
  <w:style w:type="character" w:customStyle="1" w:styleId="Heading1Char">
    <w:name w:val="Heading 1 Char"/>
    <w:basedOn w:val="DefaultParagraphFont"/>
    <w:link w:val="Heading1"/>
    <w:uiPriority w:val="9"/>
    <w:rsid w:val="003E7009"/>
    <w:rPr>
      <w:rFonts w:eastAsiaTheme="majorEastAsia" w:cstheme="majorBidi"/>
      <w:b/>
      <w:szCs w:val="32"/>
    </w:rPr>
  </w:style>
  <w:style w:type="character" w:customStyle="1" w:styleId="Heading2Char">
    <w:name w:val="Heading 2 Char"/>
    <w:basedOn w:val="DefaultParagraphFont"/>
    <w:link w:val="Heading2"/>
    <w:uiPriority w:val="9"/>
    <w:rsid w:val="003E7009"/>
    <w:rPr>
      <w:rFonts w:eastAsiaTheme="majorEastAsia" w:cstheme="majorBidi"/>
      <w: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mmuintranet.mmu.ac.uk/home.aspx" TargetMode="External"/><Relationship Id="rId17" Type="http://schemas.openxmlformats.org/officeDocument/2006/relationships/hyperlink" Target="https://mmutube.mmu.ac.uk/media/Human+Tissue+Act+%28HTA%29+consent+video/1_gogi84jl" TargetMode="External"/><Relationship Id="rId2" Type="http://schemas.openxmlformats.org/officeDocument/2006/relationships/customXml" Target="../customXml/item2.xml"/><Relationship Id="rId16" Type="http://schemas.openxmlformats.org/officeDocument/2006/relationships/hyperlink" Target="https://byglearning.co.uk/mrcrsc-lms/course/view.php?id=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yglearning.co.uk/mrcrsc-lms/course/index.php?%20categoryid=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27F15BA97497CB2533229E1AD2D23"/>
        <w:category>
          <w:name w:val="General"/>
          <w:gallery w:val="placeholder"/>
        </w:category>
        <w:types>
          <w:type w:val="bbPlcHdr"/>
        </w:types>
        <w:behaviors>
          <w:behavior w:val="content"/>
        </w:behaviors>
        <w:guid w:val="{D5021741-D23A-49FA-B756-CFCE2132CD12}"/>
      </w:docPartPr>
      <w:docPartBody>
        <w:p w:rsidR="005B0187" w:rsidRDefault="00DD0F9D" w:rsidP="00DD0F9D">
          <w:pPr>
            <w:pStyle w:val="EF227F15BA97497CB2533229E1AD2D23"/>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9D"/>
    <w:rsid w:val="001138B6"/>
    <w:rsid w:val="00263EB6"/>
    <w:rsid w:val="002C7730"/>
    <w:rsid w:val="00365186"/>
    <w:rsid w:val="005B0187"/>
    <w:rsid w:val="007E4451"/>
    <w:rsid w:val="008E254E"/>
    <w:rsid w:val="00985D6A"/>
    <w:rsid w:val="00B32728"/>
    <w:rsid w:val="00B92F2B"/>
    <w:rsid w:val="00C6067E"/>
    <w:rsid w:val="00C958AF"/>
    <w:rsid w:val="00DD0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F9D"/>
    <w:rPr>
      <w:color w:val="808080"/>
    </w:rPr>
  </w:style>
  <w:style w:type="paragraph" w:customStyle="1" w:styleId="EF227F15BA97497CB2533229E1AD2D23">
    <w:name w:val="EF227F15BA97497CB2533229E1AD2D23"/>
    <w:rsid w:val="00DD0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714E8-ADD3-4860-9F22-FEE8D1398FF7}">
  <ds:schemaRefs>
    <ds:schemaRef ds:uri="http://schemas.openxmlformats.org/officeDocument/2006/bibliography"/>
  </ds:schemaRefs>
</ds:datastoreItem>
</file>

<file path=customXml/itemProps3.xml><?xml version="1.0" encoding="utf-8"?>
<ds:datastoreItem xmlns:ds="http://schemas.openxmlformats.org/officeDocument/2006/customXml" ds:itemID="{9619F8C1-75BB-4690-AADF-26AE567FD4BA}">
  <ds:schemaRefs>
    <ds:schemaRef ds:uri="http://schemas.microsoft.com/sharepoint/v3/contenttype/forms"/>
  </ds:schemaRefs>
</ds:datastoreItem>
</file>

<file path=customXml/itemProps4.xml><?xml version="1.0" encoding="utf-8"?>
<ds:datastoreItem xmlns:ds="http://schemas.openxmlformats.org/officeDocument/2006/customXml" ds:itemID="{8365E465-0BDF-4A4B-95FE-1185A2378FB6}">
  <ds:schemaRefs>
    <ds:schemaRef ds:uri="http://purl.org/dc/terms/"/>
    <ds:schemaRef ds:uri="http://schemas.microsoft.com/office/infopath/2007/PartnerControls"/>
    <ds:schemaRef ds:uri="d8526990-09d6-408f-8dc5-982e7f8f2066"/>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08803ec0-b98c-4c78-af3f-fba87c723d74"/>
    <ds:schemaRef ds:uri="http://www.w3.org/XML/1998/namespace"/>
    <ds:schemaRef ds:uri="http://purl.org/dc/dcmitype/"/>
  </ds:schemaRefs>
</ds:datastoreItem>
</file>

<file path=customXml/itemProps5.xml><?xml version="1.0" encoding="utf-8"?>
<ds:datastoreItem xmlns:ds="http://schemas.openxmlformats.org/officeDocument/2006/customXml" ds:itemID="{15C35872-C1C0-482E-ADA4-7D57DAC6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MMU-HTA 008</vt:lpstr>
    </vt:vector>
  </TitlesOfParts>
  <Company>MMU</Company>
  <LinksUpToDate>false</LinksUpToDate>
  <CharactersWithSpaces>5665</CharactersWithSpaces>
  <SharedDoc>false</SharedDoc>
  <HLinks>
    <vt:vector size="18" baseType="variant">
      <vt:variant>
        <vt:i4>4128851</vt:i4>
      </vt:variant>
      <vt:variant>
        <vt:i4>6</vt:i4>
      </vt:variant>
      <vt:variant>
        <vt:i4>0</vt:i4>
      </vt:variant>
      <vt:variant>
        <vt:i4>5</vt:i4>
      </vt:variant>
      <vt:variant>
        <vt:lpwstr>https://mmutube.mmu.ac.uk/media/Human+Tissue+Act+%28HTA%29+consent+video/1_gogi84jl</vt:lpwstr>
      </vt:variant>
      <vt:variant>
        <vt:lpwstr/>
      </vt:variant>
      <vt:variant>
        <vt:i4>3211306</vt:i4>
      </vt:variant>
      <vt:variant>
        <vt:i4>3</vt:i4>
      </vt:variant>
      <vt:variant>
        <vt:i4>0</vt:i4>
      </vt:variant>
      <vt:variant>
        <vt:i4>5</vt:i4>
      </vt:variant>
      <vt:variant>
        <vt:lpwstr>https://byglearning.co.uk/mrcrsc-lms/course/view.php?id=43</vt:lpwstr>
      </vt:variant>
      <vt:variant>
        <vt:lpwstr/>
      </vt:variant>
      <vt:variant>
        <vt:i4>6160390</vt:i4>
      </vt:variant>
      <vt:variant>
        <vt:i4>0</vt:i4>
      </vt:variant>
      <vt:variant>
        <vt:i4>0</vt:i4>
      </vt:variant>
      <vt:variant>
        <vt:i4>5</vt:i4>
      </vt:variant>
      <vt:variant>
        <vt:lpwstr>https://byglearning.co.uk/mrcrsc-lms/course/index.php?%20categoryid=1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MMUHTA_008</dc:title>
  <dc:subject/>
  <dc:creator>mmu-user</dc:creator>
  <cp:keywords/>
  <cp:lastModifiedBy>Liam Hanson</cp:lastModifiedBy>
  <cp:revision>31</cp:revision>
  <cp:lastPrinted>2023-01-30T14:25:00Z</cp:lastPrinted>
  <dcterms:created xsi:type="dcterms:W3CDTF">2023-01-30T11:13:00Z</dcterms:created>
  <dcterms:modified xsi:type="dcterms:W3CDTF">2023-03-03T11:11:00Z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