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DAF5" w14:textId="4BD3C57A" w:rsidR="009D2E31" w:rsidRDefault="009D2E31" w:rsidP="009D2E31">
      <w:pPr>
        <w:pStyle w:val="NormalWeb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D785F58" wp14:editId="01DE55EE">
                <wp:extent cx="5816600" cy="977265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97726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89BDF" w14:textId="03384B7E" w:rsidR="009D2E31" w:rsidRPr="000B2615" w:rsidRDefault="009D2E31" w:rsidP="00DC729A">
                            <w:pPr>
                              <w:pStyle w:val="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26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Mounting Costs of Injustice: Calculating the Economic Costs of Joint Enterprise </w:t>
                            </w:r>
                          </w:p>
                          <w:p w14:paraId="5A93E488" w14:textId="5333CE06" w:rsidR="00FB1523" w:rsidRDefault="009D2E31" w:rsidP="00427CC4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 w:rsidRPr="00F63089">
                              <w:rPr>
                                <w:sz w:val="28"/>
                                <w:szCs w:val="28"/>
                              </w:rPr>
                              <w:t>January 2024</w:t>
                            </w:r>
                          </w:p>
                          <w:p w14:paraId="08A6EAB8" w14:textId="77777777" w:rsidR="00875A9D" w:rsidRDefault="00875A9D" w:rsidP="00875A9D">
                            <w:pPr>
                              <w:pStyle w:val="Subtitle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1C2D53D1" w14:textId="41A5AA4A" w:rsidR="00587E26" w:rsidRPr="00875A9D" w:rsidRDefault="00587E26" w:rsidP="00875A9D">
                            <w:pPr>
                              <w:pStyle w:val="Subtitle"/>
                              <w:rPr>
                                <w:sz w:val="20"/>
                                <w:szCs w:val="20"/>
                              </w:rPr>
                            </w:pPr>
                            <w:r w:rsidRPr="00875A9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Becky Clarke and Patrick Williams: The Justice Project, M</w:t>
                            </w:r>
                            <w:r w:rsidR="00612D16" w:rsidRPr="00875A9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anchester Metropolitan</w:t>
                            </w:r>
                            <w:r w:rsidRPr="00875A9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5A9D" w:rsidRPr="00875A9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785F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8pt;height:7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" fillcolor="#f90" stroked="f" strokeweight=".5pt">
                <v:textbox>
                  <w:txbxContent>
                    <w:p w14:paraId="55989BDF" w14:textId="03384B7E" w:rsidR="009D2E31" w:rsidRPr="000B2615" w:rsidRDefault="009D2E31" w:rsidP="00DC729A">
                      <w:pPr>
                        <w:pStyle w:val="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26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Mounting Costs of Injustice: Calculating the Economic Costs of Joint Enterprise </w:t>
                      </w:r>
                    </w:p>
                    <w:p w14:paraId="5A93E488" w14:textId="5333CE06" w:rsidR="00FB1523" w:rsidRDefault="009D2E31" w:rsidP="00427CC4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 w:rsidRPr="00F63089">
                        <w:rPr>
                          <w:sz w:val="28"/>
                          <w:szCs w:val="28"/>
                        </w:rPr>
                        <w:t>January 2024</w:t>
                      </w:r>
                    </w:p>
                    <w:p w14:paraId="08A6EAB8" w14:textId="77777777" w:rsidR="00875A9D" w:rsidRDefault="00875A9D" w:rsidP="00875A9D">
                      <w:pPr>
                        <w:pStyle w:val="Subtitle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1C2D53D1" w14:textId="41A5AA4A" w:rsidR="00587E26" w:rsidRPr="00875A9D" w:rsidRDefault="00587E26" w:rsidP="00875A9D">
                      <w:pPr>
                        <w:pStyle w:val="Subtitle"/>
                        <w:rPr>
                          <w:sz w:val="20"/>
                          <w:szCs w:val="20"/>
                        </w:rPr>
                      </w:pPr>
                      <w:r w:rsidRPr="00875A9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Becky Clarke and Patrick Williams: The Justice Project, M</w:t>
                      </w:r>
                      <w:r w:rsidR="00612D16" w:rsidRPr="00875A9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anchester Metropolitan</w:t>
                      </w:r>
                      <w:r w:rsidRPr="00875A9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75A9D" w:rsidRPr="00875A9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University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D82A3" w14:textId="54823894" w:rsidR="007E1CE8" w:rsidRPr="009B70FF" w:rsidRDefault="008C220E">
      <w:pPr>
        <w:rPr>
          <w:sz w:val="24"/>
          <w:szCs w:val="24"/>
        </w:rPr>
      </w:pPr>
      <w:r w:rsidRPr="009B70FF">
        <w:rPr>
          <w:sz w:val="24"/>
          <w:szCs w:val="24"/>
        </w:rPr>
        <w:t xml:space="preserve">This briefing </w:t>
      </w:r>
      <w:r w:rsidR="00014A2F" w:rsidRPr="009B70FF">
        <w:rPr>
          <w:sz w:val="24"/>
          <w:szCs w:val="24"/>
        </w:rPr>
        <w:t xml:space="preserve">document </w:t>
      </w:r>
      <w:r w:rsidRPr="009B70FF">
        <w:rPr>
          <w:sz w:val="24"/>
          <w:szCs w:val="24"/>
        </w:rPr>
        <w:t xml:space="preserve">considers the financial and economic cost of Joint Enterprise </w:t>
      </w:r>
      <w:r w:rsidR="007B5123" w:rsidRPr="009B70FF">
        <w:rPr>
          <w:sz w:val="24"/>
          <w:szCs w:val="24"/>
        </w:rPr>
        <w:t>(JE)</w:t>
      </w:r>
      <w:r w:rsidR="00BE273A" w:rsidRPr="009B70FF">
        <w:rPr>
          <w:sz w:val="24"/>
          <w:szCs w:val="24"/>
        </w:rPr>
        <w:t xml:space="preserve"> across England and Wales</w:t>
      </w:r>
      <w:r w:rsidR="00E468D1" w:rsidRPr="009B70FF">
        <w:rPr>
          <w:sz w:val="24"/>
          <w:szCs w:val="24"/>
        </w:rPr>
        <w:t>.</w:t>
      </w:r>
      <w:r w:rsidR="001E5B79" w:rsidRPr="009B70FF">
        <w:rPr>
          <w:rStyle w:val="FootnoteReference"/>
          <w:sz w:val="24"/>
          <w:szCs w:val="24"/>
        </w:rPr>
        <w:footnoteReference w:id="1"/>
      </w:r>
      <w:r w:rsidR="00E468D1" w:rsidRPr="009B70FF">
        <w:rPr>
          <w:sz w:val="24"/>
          <w:szCs w:val="24"/>
        </w:rPr>
        <w:t xml:space="preserve"> </w:t>
      </w:r>
      <w:r w:rsidR="008E5F8C" w:rsidRPr="009B70FF">
        <w:rPr>
          <w:sz w:val="24"/>
          <w:szCs w:val="24"/>
        </w:rPr>
        <w:t xml:space="preserve">It has been prepared in </w:t>
      </w:r>
      <w:r w:rsidR="00E468D1" w:rsidRPr="009B70FF">
        <w:rPr>
          <w:sz w:val="24"/>
          <w:szCs w:val="24"/>
        </w:rPr>
        <w:t xml:space="preserve">the context of ongoing </w:t>
      </w:r>
      <w:r w:rsidR="00F0234E" w:rsidRPr="009B70FF">
        <w:rPr>
          <w:sz w:val="24"/>
          <w:szCs w:val="24"/>
        </w:rPr>
        <w:t>campaign</w:t>
      </w:r>
      <w:r w:rsidR="00A00977" w:rsidRPr="009B70FF">
        <w:rPr>
          <w:sz w:val="24"/>
          <w:szCs w:val="24"/>
        </w:rPr>
        <w:t>s</w:t>
      </w:r>
      <w:r w:rsidR="00F0234E" w:rsidRPr="009B70FF">
        <w:rPr>
          <w:sz w:val="24"/>
          <w:szCs w:val="24"/>
        </w:rPr>
        <w:t xml:space="preserve"> </w:t>
      </w:r>
      <w:r w:rsidR="00653781" w:rsidRPr="009B70FF">
        <w:rPr>
          <w:sz w:val="24"/>
          <w:szCs w:val="24"/>
        </w:rPr>
        <w:t xml:space="preserve">concerning </w:t>
      </w:r>
      <w:r w:rsidR="00D03EBD" w:rsidRPr="009B70FF">
        <w:rPr>
          <w:sz w:val="24"/>
          <w:szCs w:val="24"/>
        </w:rPr>
        <w:t>the 30-year</w:t>
      </w:r>
      <w:r w:rsidR="00BD5969" w:rsidRPr="009B70FF">
        <w:rPr>
          <w:sz w:val="24"/>
          <w:szCs w:val="24"/>
        </w:rPr>
        <w:t xml:space="preserve"> </w:t>
      </w:r>
      <w:r w:rsidR="00653781" w:rsidRPr="009B70FF">
        <w:rPr>
          <w:sz w:val="24"/>
          <w:szCs w:val="24"/>
        </w:rPr>
        <w:t xml:space="preserve">misapplication </w:t>
      </w:r>
      <w:r w:rsidR="004D3CA7" w:rsidRPr="009B70FF">
        <w:rPr>
          <w:sz w:val="24"/>
          <w:szCs w:val="24"/>
        </w:rPr>
        <w:t>of the</w:t>
      </w:r>
      <w:r w:rsidR="00BD5969" w:rsidRPr="009B70FF">
        <w:rPr>
          <w:sz w:val="24"/>
          <w:szCs w:val="24"/>
        </w:rPr>
        <w:t xml:space="preserve"> law </w:t>
      </w:r>
      <w:r w:rsidR="007E1CE8" w:rsidRPr="009B70FF">
        <w:rPr>
          <w:sz w:val="24"/>
          <w:szCs w:val="24"/>
        </w:rPr>
        <w:t xml:space="preserve">and very real potential of </w:t>
      </w:r>
      <w:r w:rsidR="00CB6C56" w:rsidRPr="009B70FF">
        <w:rPr>
          <w:sz w:val="24"/>
          <w:szCs w:val="24"/>
        </w:rPr>
        <w:t xml:space="preserve">a </w:t>
      </w:r>
      <w:r w:rsidR="00BC4396" w:rsidRPr="009B70FF">
        <w:rPr>
          <w:sz w:val="24"/>
          <w:szCs w:val="24"/>
        </w:rPr>
        <w:t>large-scale miscarriage of justice</w:t>
      </w:r>
      <w:r w:rsidR="0070462E" w:rsidRPr="009B70FF">
        <w:rPr>
          <w:sz w:val="24"/>
          <w:szCs w:val="24"/>
        </w:rPr>
        <w:t xml:space="preserve">.  </w:t>
      </w:r>
    </w:p>
    <w:p w14:paraId="028AC129" w14:textId="56EB7E9F" w:rsidR="00141AA7" w:rsidRPr="009B70FF" w:rsidRDefault="00233073">
      <w:pPr>
        <w:rPr>
          <w:sz w:val="24"/>
          <w:szCs w:val="24"/>
        </w:rPr>
      </w:pPr>
      <w:r w:rsidRPr="009B70FF">
        <w:rPr>
          <w:sz w:val="24"/>
          <w:szCs w:val="24"/>
        </w:rPr>
        <w:t>T</w:t>
      </w:r>
      <w:r w:rsidR="006B7220" w:rsidRPr="009B70FF">
        <w:rPr>
          <w:sz w:val="24"/>
          <w:szCs w:val="24"/>
        </w:rPr>
        <w:t xml:space="preserve">he </w:t>
      </w:r>
      <w:r w:rsidR="00A67856" w:rsidRPr="009B70FF">
        <w:rPr>
          <w:sz w:val="24"/>
          <w:szCs w:val="24"/>
        </w:rPr>
        <w:t xml:space="preserve">injustice of JE </w:t>
      </w:r>
      <w:r w:rsidR="004953D1" w:rsidRPr="009B70FF">
        <w:rPr>
          <w:sz w:val="24"/>
          <w:szCs w:val="24"/>
        </w:rPr>
        <w:t xml:space="preserve">leads to </w:t>
      </w:r>
      <w:r w:rsidR="000966C1" w:rsidRPr="009B70FF">
        <w:rPr>
          <w:sz w:val="24"/>
          <w:szCs w:val="24"/>
        </w:rPr>
        <w:t xml:space="preserve">significant personal and emotional hardship for those who have been </w:t>
      </w:r>
      <w:r w:rsidR="007B2E77" w:rsidRPr="009B70FF">
        <w:rPr>
          <w:sz w:val="24"/>
          <w:szCs w:val="24"/>
        </w:rPr>
        <w:t xml:space="preserve">improperly </w:t>
      </w:r>
      <w:r w:rsidR="000966C1" w:rsidRPr="009B70FF">
        <w:rPr>
          <w:sz w:val="24"/>
          <w:szCs w:val="24"/>
        </w:rPr>
        <w:t xml:space="preserve">convicted, alongside </w:t>
      </w:r>
      <w:r w:rsidRPr="009B70FF">
        <w:rPr>
          <w:sz w:val="24"/>
          <w:szCs w:val="24"/>
        </w:rPr>
        <w:t xml:space="preserve">their </w:t>
      </w:r>
      <w:r w:rsidR="009165FA" w:rsidRPr="009B70FF">
        <w:rPr>
          <w:sz w:val="24"/>
          <w:szCs w:val="24"/>
        </w:rPr>
        <w:t>famil</w:t>
      </w:r>
      <w:r w:rsidRPr="009B70FF">
        <w:rPr>
          <w:sz w:val="24"/>
          <w:szCs w:val="24"/>
        </w:rPr>
        <w:t xml:space="preserve">ies </w:t>
      </w:r>
      <w:r w:rsidR="009165FA" w:rsidRPr="009B70FF">
        <w:rPr>
          <w:sz w:val="24"/>
          <w:szCs w:val="24"/>
        </w:rPr>
        <w:t>and</w:t>
      </w:r>
      <w:r w:rsidR="004953D1" w:rsidRPr="009B70FF">
        <w:rPr>
          <w:sz w:val="24"/>
          <w:szCs w:val="24"/>
        </w:rPr>
        <w:t xml:space="preserve"> communities</w:t>
      </w:r>
      <w:r w:rsidR="006B7220" w:rsidRPr="009B70FF">
        <w:rPr>
          <w:sz w:val="24"/>
          <w:szCs w:val="24"/>
        </w:rPr>
        <w:t xml:space="preserve">.  </w:t>
      </w:r>
      <w:r w:rsidR="00F75FB5" w:rsidRPr="009B70FF">
        <w:rPr>
          <w:sz w:val="24"/>
          <w:szCs w:val="24"/>
        </w:rPr>
        <w:t xml:space="preserve">Relatedly, </w:t>
      </w:r>
      <w:r w:rsidR="00DB26A7" w:rsidRPr="009B70FF">
        <w:rPr>
          <w:sz w:val="24"/>
          <w:szCs w:val="24"/>
        </w:rPr>
        <w:t xml:space="preserve">some believe </w:t>
      </w:r>
      <w:r w:rsidR="00C3255B" w:rsidRPr="009B70FF">
        <w:rPr>
          <w:sz w:val="24"/>
          <w:szCs w:val="24"/>
        </w:rPr>
        <w:t>(</w:t>
      </w:r>
      <w:r w:rsidR="00DB26A7" w:rsidRPr="009B70FF">
        <w:rPr>
          <w:sz w:val="24"/>
          <w:szCs w:val="24"/>
        </w:rPr>
        <w:t>and have evidenced</w:t>
      </w:r>
      <w:r w:rsidR="00C3255B" w:rsidRPr="009B70FF">
        <w:rPr>
          <w:sz w:val="24"/>
          <w:szCs w:val="24"/>
        </w:rPr>
        <w:t>)</w:t>
      </w:r>
      <w:r w:rsidR="00DB26A7" w:rsidRPr="009B70FF">
        <w:rPr>
          <w:sz w:val="24"/>
          <w:szCs w:val="24"/>
        </w:rPr>
        <w:t xml:space="preserve"> that the </w:t>
      </w:r>
      <w:r w:rsidR="00AF3699" w:rsidRPr="009B70FF">
        <w:rPr>
          <w:sz w:val="24"/>
          <w:szCs w:val="24"/>
        </w:rPr>
        <w:t xml:space="preserve">over-zealous application of </w:t>
      </w:r>
      <w:r w:rsidR="00CC254F" w:rsidRPr="009B70FF">
        <w:rPr>
          <w:sz w:val="24"/>
          <w:szCs w:val="24"/>
        </w:rPr>
        <w:t xml:space="preserve">joint evidence </w:t>
      </w:r>
      <w:r w:rsidR="00C15B70" w:rsidRPr="009B70FF">
        <w:rPr>
          <w:sz w:val="24"/>
          <w:szCs w:val="24"/>
        </w:rPr>
        <w:t xml:space="preserve">falls </w:t>
      </w:r>
      <w:r w:rsidR="00B83E20" w:rsidRPr="009B70FF">
        <w:rPr>
          <w:sz w:val="24"/>
          <w:szCs w:val="24"/>
        </w:rPr>
        <w:t xml:space="preserve">unequally </w:t>
      </w:r>
      <w:r w:rsidR="001A419B" w:rsidRPr="009B70FF">
        <w:rPr>
          <w:sz w:val="24"/>
          <w:szCs w:val="24"/>
        </w:rPr>
        <w:t>on some groups and communities</w:t>
      </w:r>
      <w:r w:rsidR="00E3710F" w:rsidRPr="009B70FF">
        <w:rPr>
          <w:sz w:val="24"/>
          <w:szCs w:val="24"/>
        </w:rPr>
        <w:t xml:space="preserve"> (</w:t>
      </w:r>
      <w:r w:rsidR="00413887" w:rsidRPr="009B70FF">
        <w:rPr>
          <w:sz w:val="24"/>
          <w:szCs w:val="24"/>
        </w:rPr>
        <w:t xml:space="preserve">please </w:t>
      </w:r>
      <w:r w:rsidR="0088670B" w:rsidRPr="009B70FF">
        <w:rPr>
          <w:sz w:val="24"/>
          <w:szCs w:val="24"/>
        </w:rPr>
        <w:t xml:space="preserve">refer to </w:t>
      </w:r>
      <w:r w:rsidR="00DB4609" w:rsidRPr="009B70FF">
        <w:rPr>
          <w:sz w:val="24"/>
          <w:szCs w:val="24"/>
        </w:rPr>
        <w:t xml:space="preserve">our </w:t>
      </w:r>
      <w:r w:rsidR="00F643C1" w:rsidRPr="009B70FF">
        <w:rPr>
          <w:sz w:val="24"/>
          <w:szCs w:val="24"/>
        </w:rPr>
        <w:t>research outputs</w:t>
      </w:r>
      <w:r w:rsidR="004953D1" w:rsidRPr="009B70FF">
        <w:rPr>
          <w:sz w:val="24"/>
          <w:szCs w:val="24"/>
        </w:rPr>
        <w:t xml:space="preserve"> to understand </w:t>
      </w:r>
      <w:r w:rsidR="000A5BF5" w:rsidRPr="009B70FF">
        <w:rPr>
          <w:sz w:val="24"/>
          <w:szCs w:val="24"/>
        </w:rPr>
        <w:t xml:space="preserve">the </w:t>
      </w:r>
      <w:r w:rsidR="006108C5" w:rsidRPr="009B70FF">
        <w:rPr>
          <w:sz w:val="24"/>
          <w:szCs w:val="24"/>
        </w:rPr>
        <w:t xml:space="preserve">disproportionate </w:t>
      </w:r>
      <w:r w:rsidR="000A5BF5" w:rsidRPr="009B70FF">
        <w:rPr>
          <w:sz w:val="24"/>
          <w:szCs w:val="24"/>
        </w:rPr>
        <w:t>use and impact of</w:t>
      </w:r>
      <w:r w:rsidR="00684F2F" w:rsidRPr="009B70FF">
        <w:rPr>
          <w:sz w:val="24"/>
          <w:szCs w:val="24"/>
        </w:rPr>
        <w:t xml:space="preserve"> JE</w:t>
      </w:r>
      <w:r w:rsidR="006108C5" w:rsidRPr="009B70FF">
        <w:rPr>
          <w:sz w:val="24"/>
          <w:szCs w:val="24"/>
        </w:rPr>
        <w:t>)</w:t>
      </w:r>
      <w:r w:rsidR="00F643C1" w:rsidRPr="009B70FF">
        <w:rPr>
          <w:sz w:val="24"/>
          <w:szCs w:val="24"/>
        </w:rPr>
        <w:t>.</w:t>
      </w:r>
      <w:r w:rsidR="00F643C1" w:rsidRPr="009B70FF">
        <w:rPr>
          <w:rStyle w:val="FootnoteReference"/>
          <w:sz w:val="24"/>
          <w:szCs w:val="24"/>
        </w:rPr>
        <w:footnoteReference w:id="2"/>
      </w:r>
      <w:r w:rsidR="000D5771" w:rsidRPr="009B70FF">
        <w:rPr>
          <w:sz w:val="24"/>
          <w:szCs w:val="24"/>
        </w:rPr>
        <w:t xml:space="preserve">  </w:t>
      </w:r>
    </w:p>
    <w:p w14:paraId="43CDE3C2" w14:textId="77777777" w:rsidR="009D4C1E" w:rsidRDefault="006A7A62">
      <w:pPr>
        <w:rPr>
          <w:sz w:val="24"/>
          <w:szCs w:val="24"/>
        </w:rPr>
      </w:pPr>
      <w:r w:rsidRPr="009B70FF">
        <w:rPr>
          <w:sz w:val="24"/>
          <w:szCs w:val="24"/>
        </w:rPr>
        <w:t xml:space="preserve">Despite this, </w:t>
      </w:r>
      <w:r w:rsidR="00676AFE" w:rsidRPr="009B70FF">
        <w:rPr>
          <w:sz w:val="24"/>
          <w:szCs w:val="24"/>
        </w:rPr>
        <w:t xml:space="preserve">very little attention has been paid to the significant financial </w:t>
      </w:r>
      <w:r w:rsidR="00A91B8A" w:rsidRPr="009B70FF">
        <w:rPr>
          <w:sz w:val="24"/>
          <w:szCs w:val="24"/>
        </w:rPr>
        <w:t>cost of</w:t>
      </w:r>
      <w:r w:rsidR="00E8591F" w:rsidRPr="009B70FF">
        <w:rPr>
          <w:sz w:val="24"/>
          <w:szCs w:val="24"/>
        </w:rPr>
        <w:t xml:space="preserve"> using Joint Enterprise as a criminal legal strategy. </w:t>
      </w:r>
      <w:r w:rsidR="003523EE" w:rsidRPr="009B70FF">
        <w:rPr>
          <w:sz w:val="24"/>
          <w:szCs w:val="24"/>
        </w:rPr>
        <w:t xml:space="preserve">Here we </w:t>
      </w:r>
      <w:r w:rsidR="00FB1293" w:rsidRPr="009B70FF">
        <w:rPr>
          <w:sz w:val="24"/>
          <w:szCs w:val="24"/>
        </w:rPr>
        <w:t xml:space="preserve">aim </w:t>
      </w:r>
      <w:r w:rsidR="003523EE" w:rsidRPr="009B70FF">
        <w:rPr>
          <w:sz w:val="24"/>
          <w:szCs w:val="24"/>
        </w:rPr>
        <w:t>to address th</w:t>
      </w:r>
      <w:r w:rsidR="00057753" w:rsidRPr="009B70FF">
        <w:rPr>
          <w:sz w:val="24"/>
          <w:szCs w:val="24"/>
        </w:rPr>
        <w:t>is</w:t>
      </w:r>
      <w:r w:rsidR="003523EE" w:rsidRPr="009B70FF">
        <w:rPr>
          <w:sz w:val="24"/>
          <w:szCs w:val="24"/>
        </w:rPr>
        <w:t xml:space="preserve"> question </w:t>
      </w:r>
      <w:r w:rsidR="00ED29B6" w:rsidRPr="009B70FF">
        <w:rPr>
          <w:sz w:val="24"/>
          <w:szCs w:val="24"/>
        </w:rPr>
        <w:t xml:space="preserve">by examining the </w:t>
      </w:r>
      <w:r w:rsidR="00FB1293" w:rsidRPr="009B70FF">
        <w:rPr>
          <w:sz w:val="24"/>
          <w:szCs w:val="24"/>
        </w:rPr>
        <w:t xml:space="preserve">CJS </w:t>
      </w:r>
      <w:r w:rsidR="00ED29B6" w:rsidRPr="009B70FF">
        <w:rPr>
          <w:sz w:val="24"/>
          <w:szCs w:val="24"/>
        </w:rPr>
        <w:t xml:space="preserve">costs </w:t>
      </w:r>
      <w:r w:rsidR="00894831" w:rsidRPr="009B70FF">
        <w:rPr>
          <w:sz w:val="24"/>
          <w:szCs w:val="24"/>
        </w:rPr>
        <w:t xml:space="preserve">of </w:t>
      </w:r>
      <w:r w:rsidR="009E24B0" w:rsidRPr="009B70FF">
        <w:rPr>
          <w:b/>
          <w:bCs/>
          <w:i/>
          <w:iCs/>
          <w:sz w:val="24"/>
          <w:szCs w:val="24"/>
        </w:rPr>
        <w:t>processing</w:t>
      </w:r>
      <w:r w:rsidR="009E24B0" w:rsidRPr="009B70FF">
        <w:rPr>
          <w:sz w:val="24"/>
          <w:szCs w:val="24"/>
        </w:rPr>
        <w:t xml:space="preserve"> and </w:t>
      </w:r>
      <w:r w:rsidR="009E24B0" w:rsidRPr="009B70FF">
        <w:rPr>
          <w:b/>
          <w:bCs/>
          <w:i/>
          <w:iCs/>
          <w:sz w:val="24"/>
          <w:szCs w:val="24"/>
        </w:rPr>
        <w:t>punishing</w:t>
      </w:r>
      <w:r w:rsidR="009E24B0" w:rsidRPr="009B70FF">
        <w:rPr>
          <w:sz w:val="24"/>
          <w:szCs w:val="24"/>
        </w:rPr>
        <w:t xml:space="preserve"> JE cases. We </w:t>
      </w:r>
      <w:r w:rsidR="00717B91" w:rsidRPr="009B70FF">
        <w:rPr>
          <w:sz w:val="24"/>
          <w:szCs w:val="24"/>
        </w:rPr>
        <w:t xml:space="preserve">conclude </w:t>
      </w:r>
      <w:r w:rsidR="005C04E7" w:rsidRPr="009B70FF">
        <w:rPr>
          <w:sz w:val="24"/>
          <w:szCs w:val="24"/>
        </w:rPr>
        <w:t xml:space="preserve">this </w:t>
      </w:r>
      <w:r w:rsidR="00F24021" w:rsidRPr="009B70FF">
        <w:rPr>
          <w:sz w:val="24"/>
          <w:szCs w:val="24"/>
        </w:rPr>
        <w:t>briefing</w:t>
      </w:r>
      <w:r w:rsidR="00A022B4" w:rsidRPr="009B70FF">
        <w:rPr>
          <w:sz w:val="24"/>
          <w:szCs w:val="24"/>
        </w:rPr>
        <w:t xml:space="preserve"> </w:t>
      </w:r>
      <w:r w:rsidR="005C04E7" w:rsidRPr="009B70FF">
        <w:rPr>
          <w:sz w:val="24"/>
          <w:szCs w:val="24"/>
        </w:rPr>
        <w:t xml:space="preserve">document </w:t>
      </w:r>
      <w:r w:rsidR="00A022B4" w:rsidRPr="009B70FF">
        <w:rPr>
          <w:sz w:val="24"/>
          <w:szCs w:val="24"/>
        </w:rPr>
        <w:t>by</w:t>
      </w:r>
      <w:r w:rsidR="00B907B8" w:rsidRPr="009B70FF">
        <w:rPr>
          <w:sz w:val="24"/>
          <w:szCs w:val="24"/>
        </w:rPr>
        <w:t xml:space="preserve"> </w:t>
      </w:r>
      <w:r w:rsidR="00AB7A1D" w:rsidRPr="009B70FF">
        <w:rPr>
          <w:sz w:val="24"/>
          <w:szCs w:val="24"/>
        </w:rPr>
        <w:t xml:space="preserve">questioning </w:t>
      </w:r>
      <w:r w:rsidR="00F01CDC" w:rsidRPr="009B70FF">
        <w:rPr>
          <w:sz w:val="24"/>
          <w:szCs w:val="24"/>
        </w:rPr>
        <w:t xml:space="preserve">the </w:t>
      </w:r>
      <w:r w:rsidR="00585995" w:rsidRPr="009B70FF">
        <w:rPr>
          <w:i/>
          <w:iCs/>
          <w:sz w:val="24"/>
          <w:szCs w:val="24"/>
        </w:rPr>
        <w:t>promise</w:t>
      </w:r>
      <w:r w:rsidR="00585995" w:rsidRPr="009B70FF">
        <w:rPr>
          <w:sz w:val="24"/>
          <w:szCs w:val="24"/>
        </w:rPr>
        <w:t xml:space="preserve"> of </w:t>
      </w:r>
      <w:r w:rsidR="00670E5E" w:rsidRPr="009B70FF">
        <w:rPr>
          <w:sz w:val="24"/>
          <w:szCs w:val="24"/>
        </w:rPr>
        <w:t>J</w:t>
      </w:r>
      <w:r w:rsidR="00F01CDC" w:rsidRPr="009B70FF">
        <w:rPr>
          <w:sz w:val="24"/>
          <w:szCs w:val="24"/>
        </w:rPr>
        <w:t xml:space="preserve">oint </w:t>
      </w:r>
      <w:r w:rsidR="00670E5E" w:rsidRPr="009B70FF">
        <w:rPr>
          <w:sz w:val="24"/>
          <w:szCs w:val="24"/>
        </w:rPr>
        <w:t>E</w:t>
      </w:r>
      <w:r w:rsidR="00F01CDC" w:rsidRPr="009B70FF">
        <w:rPr>
          <w:sz w:val="24"/>
          <w:szCs w:val="24"/>
        </w:rPr>
        <w:t>nterprise</w:t>
      </w:r>
      <w:r w:rsidR="00AB437C" w:rsidRPr="009B70FF">
        <w:rPr>
          <w:sz w:val="24"/>
          <w:szCs w:val="24"/>
        </w:rPr>
        <w:t xml:space="preserve">, </w:t>
      </w:r>
      <w:r w:rsidR="00E7243E" w:rsidRPr="009B70FF">
        <w:rPr>
          <w:sz w:val="24"/>
          <w:szCs w:val="24"/>
        </w:rPr>
        <w:t>illustrating</w:t>
      </w:r>
      <w:r w:rsidR="00017632" w:rsidRPr="009B70FF">
        <w:rPr>
          <w:sz w:val="24"/>
          <w:szCs w:val="24"/>
        </w:rPr>
        <w:t xml:space="preserve"> that despite the </w:t>
      </w:r>
      <w:r w:rsidR="00474AD9" w:rsidRPr="009B70FF">
        <w:rPr>
          <w:sz w:val="24"/>
          <w:szCs w:val="24"/>
        </w:rPr>
        <w:t xml:space="preserve">claims of JE as a deterrence </w:t>
      </w:r>
      <w:r w:rsidR="00634582" w:rsidRPr="009B70FF">
        <w:rPr>
          <w:sz w:val="24"/>
          <w:szCs w:val="24"/>
        </w:rPr>
        <w:t xml:space="preserve">and a necessary response to violent crime, it is </w:t>
      </w:r>
      <w:r w:rsidR="00B907B8" w:rsidRPr="009B70FF">
        <w:rPr>
          <w:sz w:val="24"/>
          <w:szCs w:val="24"/>
        </w:rPr>
        <w:t xml:space="preserve">a costly, </w:t>
      </w:r>
      <w:proofErr w:type="gramStart"/>
      <w:r w:rsidR="00B907B8" w:rsidRPr="009B70FF">
        <w:rPr>
          <w:sz w:val="24"/>
          <w:szCs w:val="24"/>
        </w:rPr>
        <w:t>harmful</w:t>
      </w:r>
      <w:proofErr w:type="gramEnd"/>
      <w:r w:rsidR="00B907B8" w:rsidRPr="009B70FF">
        <w:rPr>
          <w:sz w:val="24"/>
          <w:szCs w:val="24"/>
        </w:rPr>
        <w:t xml:space="preserve"> and ineffective </w:t>
      </w:r>
      <w:r w:rsidR="00D26CA0" w:rsidRPr="009B70FF">
        <w:rPr>
          <w:sz w:val="24"/>
          <w:szCs w:val="24"/>
        </w:rPr>
        <w:t xml:space="preserve">policing, prosecution and punishment </w:t>
      </w:r>
      <w:r w:rsidR="00B907B8" w:rsidRPr="009B70FF">
        <w:rPr>
          <w:sz w:val="24"/>
          <w:szCs w:val="24"/>
        </w:rPr>
        <w:t xml:space="preserve">strategy </w:t>
      </w:r>
      <w:r w:rsidR="00EC40A2" w:rsidRPr="009B70FF">
        <w:rPr>
          <w:sz w:val="24"/>
          <w:szCs w:val="24"/>
        </w:rPr>
        <w:t xml:space="preserve">and fails </w:t>
      </w:r>
      <w:r w:rsidR="00B907B8" w:rsidRPr="009B70FF">
        <w:rPr>
          <w:sz w:val="24"/>
          <w:szCs w:val="24"/>
        </w:rPr>
        <w:t xml:space="preserve">to </w:t>
      </w:r>
      <w:r w:rsidR="00CC7B40" w:rsidRPr="009B70FF">
        <w:rPr>
          <w:sz w:val="24"/>
          <w:szCs w:val="24"/>
        </w:rPr>
        <w:t xml:space="preserve">tackle the </w:t>
      </w:r>
      <w:r w:rsidR="00B907B8" w:rsidRPr="009B70FF">
        <w:rPr>
          <w:sz w:val="24"/>
          <w:szCs w:val="24"/>
        </w:rPr>
        <w:t xml:space="preserve">problem of violent crime. </w:t>
      </w:r>
    </w:p>
    <w:p w14:paraId="3A0D3CB4" w14:textId="4A001A6D" w:rsidR="009D2E31" w:rsidRDefault="009D2E31" w:rsidP="009D2E31">
      <w:r>
        <w:rPr>
          <w:b/>
          <w:bCs/>
          <w:noProof/>
        </w:rPr>
        <mc:AlternateContent>
          <mc:Choice Requires="wps">
            <w:drawing>
              <wp:inline distT="0" distB="0" distL="0" distR="0" wp14:anchorId="4CDFA72F" wp14:editId="48A0D735">
                <wp:extent cx="5816600" cy="2608288"/>
                <wp:effectExtent l="0" t="0" r="0" b="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2608288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1995E" w14:textId="69F2106C" w:rsidR="009D2E31" w:rsidRPr="004A551B" w:rsidRDefault="009D2E31" w:rsidP="00CD0D28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551B">
                              <w:rPr>
                                <w:b/>
                                <w:bCs/>
                                <w:color w:val="000000" w:themeColor="text1"/>
                              </w:rPr>
                              <w:t>K</w:t>
                            </w:r>
                            <w:r w:rsidR="00427CC4" w:rsidRPr="004A551B">
                              <w:rPr>
                                <w:b/>
                                <w:bCs/>
                                <w:color w:val="000000" w:themeColor="text1"/>
                              </w:rPr>
                              <w:t>ey findings</w:t>
                            </w:r>
                          </w:p>
                          <w:p w14:paraId="592C2D62" w14:textId="77777777" w:rsidR="000C6FB6" w:rsidRPr="00917FA0" w:rsidRDefault="000C6FB6" w:rsidP="009D2E31">
                            <w:pPr>
                              <w:pStyle w:val="NoSpacing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610AEF" w14:textId="4AF7514D" w:rsidR="009D2E31" w:rsidRPr="009B70FF" w:rsidRDefault="00335B20" w:rsidP="009D2E31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c</w:t>
                            </w:r>
                            <w:r w:rsidR="009D2E31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ost of processing and punishing homicide</w:t>
                            </w:r>
                            <w:r w:rsidR="001E5B79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a</w:t>
                            </w:r>
                            <w:r w:rsidR="009D2E31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single defendant is </w:t>
                            </w:r>
                            <w:proofErr w:type="gramStart"/>
                            <w:r w:rsidR="009D2E31" w:rsidRPr="009B70F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£1,368,542</w:t>
                            </w:r>
                            <w:proofErr w:type="gramEnd"/>
                          </w:p>
                          <w:p w14:paraId="23ED30CB" w14:textId="77777777" w:rsidR="009D2E31" w:rsidRPr="009B70FF" w:rsidRDefault="009D2E31" w:rsidP="009D2E31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75978A" w14:textId="3F5DE57C" w:rsidR="009D2E31" w:rsidRPr="009B70FF" w:rsidRDefault="009D2E31" w:rsidP="009D2E31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When using JE for </w:t>
                            </w:r>
                            <w:r w:rsidRPr="009B70F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every additional defendant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be processed and punished it costs </w:t>
                            </w:r>
                            <w:r w:rsidRPr="009B70F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£1,291,031</w:t>
                            </w:r>
                          </w:p>
                          <w:p w14:paraId="03436107" w14:textId="77777777" w:rsidR="009D2E31" w:rsidRPr="009B70FF" w:rsidRDefault="009D2E31" w:rsidP="009D2E31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A1711E" w14:textId="15C49780" w:rsidR="009E4EE4" w:rsidRPr="009B70FF" w:rsidRDefault="00A21E7A" w:rsidP="009E4EE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9D2E31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ata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from the C</w:t>
                            </w:r>
                            <w:r w:rsidR="006D38D6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rown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D38D6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rosecution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6D38D6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ervice (CPS)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pilot </w:t>
                            </w:r>
                            <w:r w:rsidR="009D2E31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suggests an average of 3.6 defendants </w:t>
                            </w:r>
                            <w:r w:rsidR="00D24908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9D2E31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case. It costs </w:t>
                            </w:r>
                            <w:r w:rsidR="009D2E31" w:rsidRPr="009B70F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£4,647,711</w:t>
                            </w:r>
                            <w:r w:rsidR="009D2E31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process and punish a </w:t>
                            </w:r>
                            <w:r w:rsidR="009D2E31" w:rsidRPr="009B70F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typical JE homicide </w:t>
                            </w:r>
                            <w:r w:rsidR="00A77F02" w:rsidRPr="009B70F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attempted homicide </w:t>
                            </w:r>
                            <w:r w:rsidR="009D2E31" w:rsidRPr="009B70F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case</w:t>
                            </w:r>
                            <w:r w:rsidR="009D2E31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9E4EE4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3451F7" w14:textId="00DE4061" w:rsidR="009E4EE4" w:rsidRPr="009B70FF" w:rsidRDefault="009E4EE4" w:rsidP="009E4EE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Drawing upon </w:t>
                            </w:r>
                            <w:r w:rsidR="00034AEC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="00B3402D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from the</w:t>
                            </w:r>
                            <w:r w:rsidR="006D38D6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CPS</w:t>
                            </w:r>
                            <w:r w:rsidR="00B3402D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estimate current scale of JE use, </w:t>
                            </w:r>
                            <w:r w:rsidR="00034AEC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each year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1,360 defendants </w:t>
                            </w:r>
                            <w:r w:rsidR="00034AEC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 processed</w:t>
                            </w:r>
                            <w:r w:rsidR="00437FF0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034AEC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7FF0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1,088 </w:t>
                            </w:r>
                            <w:r w:rsidR="00437FF0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these individuals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convicted and punished</w:t>
                            </w:r>
                            <w:r w:rsidR="003753A3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(using costs outlined in Table 1 of the </w:t>
                            </w:r>
                            <w:r w:rsidR="00723CAE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briefing</w:t>
                            </w:r>
                            <w:r w:rsidR="003753A3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3958A9" w14:textId="6ABBBF32" w:rsidR="009E4EE4" w:rsidRPr="009B70FF" w:rsidRDefault="000C6FB6" w:rsidP="00917FA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Annual c</w:t>
                            </w:r>
                            <w:r w:rsidR="00437FF0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ost to </w:t>
                            </w:r>
                            <w:r w:rsidR="00723CAE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PROCESS </w:t>
                            </w:r>
                            <w:r w:rsidR="009E4EE4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defendants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JE cases </w:t>
                            </w:r>
                            <w:r w:rsidR="009E4EE4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9E4EE4" w:rsidRPr="009B70F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£242,123,520 </w:t>
                            </w:r>
                          </w:p>
                          <w:p w14:paraId="6B0AFC65" w14:textId="1677E67B" w:rsidR="009E4EE4" w:rsidRPr="009B70FF" w:rsidRDefault="009E4EE4" w:rsidP="00917FA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Future costs </w:t>
                            </w:r>
                            <w:r w:rsidR="00723CAE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PUNISH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0C6FB6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those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convicted in </w:t>
                            </w:r>
                            <w:r w:rsidR="000C6FB6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one</w:t>
                            </w:r>
                            <w:r w:rsidR="001D3D47"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9B70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year period = £</w:t>
                            </w:r>
                            <w:r w:rsidRPr="009B70FF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1,210,944,000</w:t>
                            </w:r>
                          </w:p>
                          <w:p w14:paraId="4AEDFF7E" w14:textId="1F81A6F4" w:rsidR="009D2E31" w:rsidRPr="009D2E31" w:rsidRDefault="009D2E31" w:rsidP="009D2E3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705B3A2" w14:textId="46061C90" w:rsidR="009D2E31" w:rsidRDefault="009D2E31" w:rsidP="009D2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FA72F" id="Text Box 5" o:spid="_x0000_s1027" type="#_x0000_t202" style="width:45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" fillcolor="#f90" stroked="f" strokeweight=".5pt">
                <v:textbox>
                  <w:txbxContent>
                    <w:p w14:paraId="74A1995E" w14:textId="69F2106C" w:rsidR="009D2E31" w:rsidRPr="004A551B" w:rsidRDefault="009D2E31" w:rsidP="00CD0D28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551B">
                        <w:rPr>
                          <w:b/>
                          <w:bCs/>
                          <w:color w:val="000000" w:themeColor="text1"/>
                        </w:rPr>
                        <w:t>K</w:t>
                      </w:r>
                      <w:r w:rsidR="00427CC4" w:rsidRPr="004A551B">
                        <w:rPr>
                          <w:b/>
                          <w:bCs/>
                          <w:color w:val="000000" w:themeColor="text1"/>
                        </w:rPr>
                        <w:t>ey findings</w:t>
                      </w:r>
                    </w:p>
                    <w:p w14:paraId="592C2D62" w14:textId="77777777" w:rsidR="000C6FB6" w:rsidRPr="00917FA0" w:rsidRDefault="000C6FB6" w:rsidP="009D2E31">
                      <w:pPr>
                        <w:pStyle w:val="NoSpacing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6610AEF" w14:textId="4AF7514D" w:rsidR="009D2E31" w:rsidRPr="009B70FF" w:rsidRDefault="00335B20" w:rsidP="009D2E31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The c</w:t>
                      </w:r>
                      <w:r w:rsidR="009D2E31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ost of processing and punishing homicide</w:t>
                      </w:r>
                      <w:r w:rsidR="001E5B79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 a</w:t>
                      </w:r>
                      <w:r w:rsidR="009D2E31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single defendant is </w:t>
                      </w:r>
                      <w:r w:rsidR="009D2E31" w:rsidRPr="009B70F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£1,368,542</w:t>
                      </w:r>
                    </w:p>
                    <w:p w14:paraId="23ED30CB" w14:textId="77777777" w:rsidR="009D2E31" w:rsidRPr="009B70FF" w:rsidRDefault="009D2E31" w:rsidP="009D2E31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75978A" w14:textId="3F5DE57C" w:rsidR="009D2E31" w:rsidRPr="009B70FF" w:rsidRDefault="009D2E31" w:rsidP="009D2E31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When using JE for </w:t>
                      </w:r>
                      <w:r w:rsidRPr="009B70F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every additional defendant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be processed and punished it costs </w:t>
                      </w:r>
                      <w:r w:rsidRPr="009B70F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£1,291,031</w:t>
                      </w:r>
                    </w:p>
                    <w:p w14:paraId="03436107" w14:textId="77777777" w:rsidR="009D2E31" w:rsidRPr="009B70FF" w:rsidRDefault="009D2E31" w:rsidP="009D2E31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A1711E" w14:textId="15C49780" w:rsidR="009E4EE4" w:rsidRPr="009B70FF" w:rsidRDefault="00A21E7A" w:rsidP="009E4EE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9D2E31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ata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from the C</w:t>
                      </w:r>
                      <w:r w:rsidR="006D38D6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rown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D38D6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rosecution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6D38D6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ervice (CPS)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pilot </w:t>
                      </w:r>
                      <w:r w:rsidR="009D2E31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suggests an average of 3.6 defendants </w:t>
                      </w:r>
                      <w:r w:rsidR="00D24908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per </w:t>
                      </w:r>
                      <w:r w:rsidR="009D2E31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case. It costs </w:t>
                      </w:r>
                      <w:r w:rsidR="009D2E31" w:rsidRPr="009B70F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£4,647,711</w:t>
                      </w:r>
                      <w:r w:rsidR="009D2E31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process and punish a </w:t>
                      </w:r>
                      <w:r w:rsidR="009D2E31" w:rsidRPr="009B70F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typical JE homicide </w:t>
                      </w:r>
                      <w:r w:rsidR="00A77F02" w:rsidRPr="009B70F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or attempted homicide </w:t>
                      </w:r>
                      <w:r w:rsidR="009D2E31" w:rsidRPr="009B70F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case</w:t>
                      </w:r>
                      <w:r w:rsidR="009D2E31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9E4EE4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3451F7" w14:textId="00DE4061" w:rsidR="009E4EE4" w:rsidRPr="009B70FF" w:rsidRDefault="009E4EE4" w:rsidP="009E4EE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Drawing upon </w:t>
                      </w:r>
                      <w:r w:rsidR="00034AEC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data </w:t>
                      </w:r>
                      <w:r w:rsidR="00B3402D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from the</w:t>
                      </w:r>
                      <w:r w:rsidR="006D38D6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CPS</w:t>
                      </w:r>
                      <w:r w:rsidR="00B3402D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estimate current scale of JE use, </w:t>
                      </w:r>
                      <w:r w:rsidR="00034AEC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each year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1,360 defendants </w:t>
                      </w:r>
                      <w:r w:rsidR="00034AEC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are processed</w:t>
                      </w:r>
                      <w:r w:rsidR="00437FF0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034AEC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7FF0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with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1,088 </w:t>
                      </w:r>
                      <w:r w:rsidR="00437FF0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of these individuals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convicted and punished</w:t>
                      </w:r>
                      <w:r w:rsidR="003753A3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(using costs outlined in Table 1 of the </w:t>
                      </w:r>
                      <w:r w:rsidR="00723CAE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briefing</w:t>
                      </w:r>
                      <w:r w:rsidR="003753A3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83958A9" w14:textId="6ABBBF32" w:rsidR="009E4EE4" w:rsidRPr="009B70FF" w:rsidRDefault="000C6FB6" w:rsidP="00917FA0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Annual c</w:t>
                      </w:r>
                      <w:r w:rsidR="00437FF0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ost to </w:t>
                      </w:r>
                      <w:r w:rsidR="00723CAE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PROCESS </w:t>
                      </w:r>
                      <w:r w:rsidR="009E4EE4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defendants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 JE cases </w:t>
                      </w:r>
                      <w:r w:rsidR="009E4EE4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= </w:t>
                      </w:r>
                      <w:r w:rsidR="009E4EE4" w:rsidRPr="009B70F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£242,123,520 </w:t>
                      </w:r>
                    </w:p>
                    <w:p w14:paraId="6B0AFC65" w14:textId="1677E67B" w:rsidR="009E4EE4" w:rsidRPr="009B70FF" w:rsidRDefault="009E4EE4" w:rsidP="00917FA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Future costs </w:t>
                      </w:r>
                      <w:r w:rsidR="00723CAE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PUNISH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for </w:t>
                      </w:r>
                      <w:r w:rsidR="000C6FB6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those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convicted in </w:t>
                      </w:r>
                      <w:r w:rsidR="000C6FB6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one</w:t>
                      </w:r>
                      <w:r w:rsidR="001D3D47"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9B70FF">
                        <w:rPr>
                          <w:color w:val="000000" w:themeColor="text1"/>
                          <w:sz w:val="20"/>
                          <w:szCs w:val="20"/>
                        </w:rPr>
                        <w:t>year period = £</w:t>
                      </w:r>
                      <w:r w:rsidRPr="009B70FF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1,210,944,000</w:t>
                      </w:r>
                    </w:p>
                    <w:p w14:paraId="4AEDFF7E" w14:textId="1F81A6F4" w:rsidR="009D2E31" w:rsidRPr="009D2E31" w:rsidRDefault="009D2E31" w:rsidP="009D2E3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  <w:p w14:paraId="1705B3A2" w14:textId="46061C90" w:rsidR="009D2E31" w:rsidRDefault="009D2E31" w:rsidP="009D2E31"/>
                  </w:txbxContent>
                </v:textbox>
                <w10:anchorlock/>
              </v:shape>
            </w:pict>
          </mc:Fallback>
        </mc:AlternateContent>
      </w:r>
    </w:p>
    <w:p w14:paraId="7B543061" w14:textId="164323BF" w:rsidR="00C73125" w:rsidRDefault="004670A7" w:rsidP="009D4C1E">
      <w:pPr>
        <w:pStyle w:val="Heading2"/>
        <w:rPr>
          <w:b/>
          <w:bCs/>
          <w:color w:val="000000" w:themeColor="text1"/>
        </w:rPr>
      </w:pPr>
      <w:r>
        <w:br w:type="page"/>
      </w:r>
      <w:r w:rsidR="00C73125" w:rsidRPr="004A551B">
        <w:rPr>
          <w:b/>
          <w:bCs/>
          <w:color w:val="000000" w:themeColor="text1"/>
        </w:rPr>
        <w:lastRenderedPageBreak/>
        <w:t>Wider Context</w:t>
      </w:r>
      <w:r w:rsidR="00D74D85" w:rsidRPr="004A551B">
        <w:rPr>
          <w:b/>
          <w:bCs/>
          <w:color w:val="000000" w:themeColor="text1"/>
        </w:rPr>
        <w:t xml:space="preserve">: </w:t>
      </w:r>
      <w:r w:rsidR="00C73125" w:rsidRPr="004A551B">
        <w:rPr>
          <w:b/>
          <w:bCs/>
          <w:color w:val="000000" w:themeColor="text1"/>
        </w:rPr>
        <w:t xml:space="preserve">Costs in the Criminal Justice ‘System’ </w:t>
      </w:r>
    </w:p>
    <w:p w14:paraId="29DE89D6" w14:textId="5F64D6F2" w:rsidR="00A7616A" w:rsidRDefault="00C73125" w:rsidP="00263CFE">
      <w:r>
        <w:t xml:space="preserve">According to the National Audit Office (2016), criminal justice system expenditure stood </w:t>
      </w:r>
      <w:r w:rsidR="00E8056D">
        <w:t>more than</w:t>
      </w:r>
      <w:r>
        <w:t xml:space="preserve"> £14bn. </w:t>
      </w:r>
      <w:r w:rsidR="00E56BFB">
        <w:t>C</w:t>
      </w:r>
      <w:r>
        <w:t>riminal justice across England and Wales is delivered through a bewilderingly complex system comprised of over 300 institutions and organisations.</w:t>
      </w:r>
      <w:r>
        <w:rPr>
          <w:rStyle w:val="FootnoteReference"/>
        </w:rPr>
        <w:footnoteReference w:id="3"/>
      </w:r>
      <w:r>
        <w:t xml:space="preserve"> Rather than a ‘system’ then, the CJS is perhaps better understood as a series of inter-related </w:t>
      </w:r>
      <w:r w:rsidRPr="000D048C">
        <w:rPr>
          <w:i/>
          <w:iCs/>
        </w:rPr>
        <w:t>processes</w:t>
      </w:r>
      <w:r>
        <w:t xml:space="preserve"> and </w:t>
      </w:r>
      <w:r>
        <w:rPr>
          <w:i/>
          <w:iCs/>
        </w:rPr>
        <w:t xml:space="preserve">outcomes </w:t>
      </w:r>
      <w:r>
        <w:t xml:space="preserve">operating from the </w:t>
      </w:r>
      <w:r w:rsidRPr="00511354">
        <w:t>pre-charge investigation stage through to post-sentencing stage</w:t>
      </w:r>
      <w:r w:rsidR="00263CFE">
        <w:t>.</w:t>
      </w:r>
      <w:r w:rsidR="00A7616A">
        <w:rPr>
          <w:rStyle w:val="FootnoteReference"/>
        </w:rPr>
        <w:footnoteReference w:id="4"/>
      </w:r>
    </w:p>
    <w:p w14:paraId="1767B766" w14:textId="2C590D60" w:rsidR="00C73125" w:rsidRPr="004A551B" w:rsidRDefault="007F078F" w:rsidP="004A551B">
      <w:pPr>
        <w:pStyle w:val="Heading2"/>
        <w:rPr>
          <w:b/>
          <w:bCs/>
          <w:color w:val="000000" w:themeColor="text1"/>
          <w:u w:val="single"/>
        </w:rPr>
      </w:pPr>
      <w:r w:rsidRPr="004A551B">
        <w:rPr>
          <w:b/>
          <w:bCs/>
          <w:color w:val="000000" w:themeColor="text1"/>
        </w:rPr>
        <w:t xml:space="preserve">Our </w:t>
      </w:r>
      <w:r w:rsidR="00D74D85" w:rsidRPr="004A551B">
        <w:rPr>
          <w:b/>
          <w:bCs/>
          <w:color w:val="000000" w:themeColor="text1"/>
        </w:rPr>
        <w:t>A</w:t>
      </w:r>
      <w:r w:rsidRPr="004A551B">
        <w:rPr>
          <w:b/>
          <w:bCs/>
          <w:color w:val="000000" w:themeColor="text1"/>
        </w:rPr>
        <w:t xml:space="preserve">pproach to </w:t>
      </w:r>
      <w:r w:rsidR="00D74D85" w:rsidRPr="004A551B">
        <w:rPr>
          <w:b/>
          <w:bCs/>
          <w:color w:val="000000" w:themeColor="text1"/>
        </w:rPr>
        <w:t>C</w:t>
      </w:r>
      <w:r w:rsidRPr="004A551B">
        <w:rPr>
          <w:b/>
          <w:bCs/>
          <w:color w:val="000000" w:themeColor="text1"/>
        </w:rPr>
        <w:t xml:space="preserve">alculating </w:t>
      </w:r>
      <w:r w:rsidR="00EC5A0A" w:rsidRPr="004A551B">
        <w:rPr>
          <w:b/>
          <w:bCs/>
          <w:color w:val="000000" w:themeColor="text1"/>
        </w:rPr>
        <w:t xml:space="preserve">the </w:t>
      </w:r>
      <w:r w:rsidR="00D74D85" w:rsidRPr="004A551B">
        <w:rPr>
          <w:b/>
          <w:bCs/>
          <w:color w:val="000000" w:themeColor="text1"/>
        </w:rPr>
        <w:t>C</w:t>
      </w:r>
      <w:r w:rsidRPr="004A551B">
        <w:rPr>
          <w:b/>
          <w:bCs/>
          <w:color w:val="000000" w:themeColor="text1"/>
        </w:rPr>
        <w:t>osts of J</w:t>
      </w:r>
      <w:r w:rsidR="000B47B7" w:rsidRPr="004A551B">
        <w:rPr>
          <w:b/>
          <w:bCs/>
          <w:color w:val="000000" w:themeColor="text1"/>
        </w:rPr>
        <w:t xml:space="preserve">oint </w:t>
      </w:r>
      <w:r w:rsidRPr="004A551B">
        <w:rPr>
          <w:b/>
          <w:bCs/>
          <w:color w:val="000000" w:themeColor="text1"/>
        </w:rPr>
        <w:t>E</w:t>
      </w:r>
      <w:r w:rsidR="000B47B7" w:rsidRPr="004A551B">
        <w:rPr>
          <w:b/>
          <w:bCs/>
          <w:color w:val="000000" w:themeColor="text1"/>
        </w:rPr>
        <w:t>nterprise</w:t>
      </w:r>
      <w:r w:rsidR="00EC5A0A" w:rsidRPr="004A551B">
        <w:rPr>
          <w:b/>
          <w:bCs/>
          <w:color w:val="000000" w:themeColor="text1"/>
        </w:rPr>
        <w:t xml:space="preserve">: </w:t>
      </w:r>
      <w:r w:rsidR="00EC5A0A" w:rsidRPr="004A551B">
        <w:rPr>
          <w:b/>
          <w:bCs/>
          <w:i/>
          <w:iCs/>
          <w:color w:val="000000" w:themeColor="text1"/>
        </w:rPr>
        <w:t xml:space="preserve">Processing </w:t>
      </w:r>
      <w:r w:rsidR="00EC5A0A" w:rsidRPr="004A551B">
        <w:rPr>
          <w:b/>
          <w:bCs/>
          <w:color w:val="000000" w:themeColor="text1"/>
        </w:rPr>
        <w:t xml:space="preserve">and </w:t>
      </w:r>
      <w:r w:rsidR="00EC5A0A" w:rsidRPr="004A551B">
        <w:rPr>
          <w:b/>
          <w:bCs/>
          <w:i/>
          <w:iCs/>
          <w:color w:val="000000" w:themeColor="text1"/>
        </w:rPr>
        <w:t>Punishment</w:t>
      </w:r>
    </w:p>
    <w:p w14:paraId="00F380E7" w14:textId="40505222" w:rsidR="00C73125" w:rsidRDefault="00C73125" w:rsidP="00C73125">
      <w:r>
        <w:t xml:space="preserve">Attempting to calculate the use and costs of JE is </w:t>
      </w:r>
      <w:r w:rsidR="00C8252D">
        <w:t xml:space="preserve">therefore </w:t>
      </w:r>
      <w:r>
        <w:t xml:space="preserve">a complex assignment. Here we extrapolate </w:t>
      </w:r>
      <w:r w:rsidR="00C54819">
        <w:t xml:space="preserve">the </w:t>
      </w:r>
      <w:r>
        <w:t xml:space="preserve">expenditure costs of </w:t>
      </w:r>
      <w:r w:rsidR="00A0081F">
        <w:t>J</w:t>
      </w:r>
      <w:r>
        <w:t xml:space="preserve">oint </w:t>
      </w:r>
      <w:r w:rsidR="00A0081F">
        <w:t>E</w:t>
      </w:r>
      <w:r>
        <w:t>nterprise prosecutions using validated unit costs data for Homicide cases</w:t>
      </w:r>
      <w:r w:rsidR="00773BBF">
        <w:t xml:space="preserve">.  </w:t>
      </w:r>
      <w:r w:rsidR="007A08A6">
        <w:t xml:space="preserve">At present these costs reflect </w:t>
      </w:r>
      <w:r w:rsidR="006E2437">
        <w:t xml:space="preserve">only </w:t>
      </w:r>
      <w:r w:rsidR="007A08A6">
        <w:t>direct costs to the taxpayer</w:t>
      </w:r>
      <w:r w:rsidR="006E2437">
        <w:t xml:space="preserve">, rather than the wider social costs. </w:t>
      </w:r>
      <w:r w:rsidR="007A08A6">
        <w:t xml:space="preserve"> </w:t>
      </w:r>
      <w:r w:rsidR="00EF64F6">
        <w:t>W</w:t>
      </w:r>
      <w:r w:rsidR="00773BBF">
        <w:t xml:space="preserve">e </w:t>
      </w:r>
      <w:r w:rsidR="006E2437">
        <w:t xml:space="preserve">also </w:t>
      </w:r>
      <w:r w:rsidR="00773BBF">
        <w:t>acknowledge</w:t>
      </w:r>
      <w:r>
        <w:t xml:space="preserve"> that JE cases are often more multi-faceted</w:t>
      </w:r>
      <w:r w:rsidR="000825FE">
        <w:t xml:space="preserve"> </w:t>
      </w:r>
      <w:r w:rsidR="003F120F">
        <w:t xml:space="preserve">in those direct costs – of policing or prosecution - </w:t>
      </w:r>
      <w:r w:rsidR="000825FE">
        <w:t xml:space="preserve">thus our calculations will </w:t>
      </w:r>
      <w:r w:rsidR="00593FC3">
        <w:t>inevitably be lower boundary</w:t>
      </w:r>
      <w:r w:rsidR="003F120F">
        <w:t xml:space="preserve"> estimates</w:t>
      </w:r>
      <w:r>
        <w:t xml:space="preserve">. </w:t>
      </w:r>
    </w:p>
    <w:p w14:paraId="18A4BDEA" w14:textId="7B3B0651" w:rsidR="00C73125" w:rsidRDefault="002B4295" w:rsidP="00C73125">
      <w:r>
        <w:t xml:space="preserve">In our </w:t>
      </w:r>
      <w:r w:rsidR="00CA151F">
        <w:t xml:space="preserve">attempt to </w:t>
      </w:r>
      <w:r>
        <w:t xml:space="preserve">work with the data available to </w:t>
      </w:r>
      <w:r w:rsidR="00CA151F">
        <w:t xml:space="preserve">reflect </w:t>
      </w:r>
      <w:r w:rsidR="00593FC3">
        <w:t xml:space="preserve">additionality in the costs of </w:t>
      </w:r>
      <w:r w:rsidR="00CA151F">
        <w:t xml:space="preserve">processing and punishing </w:t>
      </w:r>
      <w:r w:rsidR="00344E8C">
        <w:t xml:space="preserve">JE </w:t>
      </w:r>
      <w:r w:rsidR="00593FC3">
        <w:t>cases</w:t>
      </w:r>
      <w:r w:rsidR="00CA151F">
        <w:t xml:space="preserve">, </w:t>
      </w:r>
      <w:r w:rsidR="00694EC5">
        <w:t xml:space="preserve">we </w:t>
      </w:r>
      <w:r w:rsidR="0024411E">
        <w:t xml:space="preserve">focus on </w:t>
      </w:r>
      <w:proofErr w:type="spellStart"/>
      <w:r w:rsidR="00C73125">
        <w:t>i</w:t>
      </w:r>
      <w:proofErr w:type="spellEnd"/>
      <w:r w:rsidR="00C73125">
        <w:t xml:space="preserve">) the costs of </w:t>
      </w:r>
      <w:r w:rsidR="00C73125" w:rsidRPr="00FC7408">
        <w:rPr>
          <w:i/>
          <w:iCs/>
        </w:rPr>
        <w:t>processing</w:t>
      </w:r>
      <w:r w:rsidR="00C73125">
        <w:t xml:space="preserve"> </w:t>
      </w:r>
      <w:r w:rsidR="00497F52">
        <w:t>additional defendants in</w:t>
      </w:r>
      <w:r w:rsidR="000B47B7">
        <w:t xml:space="preserve"> JE</w:t>
      </w:r>
      <w:r w:rsidR="00C73125">
        <w:t xml:space="preserve"> cases </w:t>
      </w:r>
      <w:r w:rsidR="004144E2">
        <w:t xml:space="preserve">at </w:t>
      </w:r>
      <w:r w:rsidR="00C73125">
        <w:t xml:space="preserve">trial and sentencing, and (ii) the costs of </w:t>
      </w:r>
      <w:r w:rsidR="00C73125" w:rsidRPr="005170B6">
        <w:rPr>
          <w:i/>
          <w:iCs/>
        </w:rPr>
        <w:t>punishing</w:t>
      </w:r>
      <w:r w:rsidR="00C73125">
        <w:t xml:space="preserve"> </w:t>
      </w:r>
      <w:r w:rsidR="00315B10">
        <w:t xml:space="preserve">additional defendants in </w:t>
      </w:r>
      <w:r w:rsidR="004144E2">
        <w:t xml:space="preserve">JE </w:t>
      </w:r>
      <w:r w:rsidR="00C73125">
        <w:t xml:space="preserve">cases post sentence, </w:t>
      </w:r>
      <w:r w:rsidR="004144E2">
        <w:t xml:space="preserve">including </w:t>
      </w:r>
      <w:r w:rsidR="00C73125">
        <w:t>prison,</w:t>
      </w:r>
      <w:r w:rsidR="00FC7C24">
        <w:t xml:space="preserve"> </w:t>
      </w:r>
      <w:r w:rsidR="00C73125">
        <w:t>probation and NOMs</w:t>
      </w:r>
      <w:r w:rsidR="008139B5">
        <w:t xml:space="preserve">/HMPPS </w:t>
      </w:r>
      <w:r w:rsidR="00C73125">
        <w:t xml:space="preserve">costs.  </w:t>
      </w:r>
    </w:p>
    <w:p w14:paraId="01662C37" w14:textId="41CEA3AD" w:rsidR="000B108F" w:rsidRDefault="003C3FB8">
      <w:r>
        <w:t xml:space="preserve">In </w:t>
      </w:r>
      <w:r w:rsidR="00FC7C24" w:rsidRPr="00CD15E1">
        <w:t>calculat</w:t>
      </w:r>
      <w:r w:rsidR="003714EF" w:rsidRPr="00CD15E1">
        <w:t>ing</w:t>
      </w:r>
      <w:r w:rsidR="00FC7C24">
        <w:t xml:space="preserve"> the costs of processing and punish</w:t>
      </w:r>
      <w:r w:rsidR="00694EC5">
        <w:t>ing</w:t>
      </w:r>
      <w:r w:rsidR="00FC7C24">
        <w:t xml:space="preserve"> </w:t>
      </w:r>
      <w:r>
        <w:t xml:space="preserve">an individual </w:t>
      </w:r>
      <w:r w:rsidR="00FC7C24">
        <w:t xml:space="preserve">defendant, </w:t>
      </w:r>
      <w:r w:rsidR="003714EF">
        <w:t xml:space="preserve">we </w:t>
      </w:r>
      <w:r w:rsidR="00C66D6C">
        <w:t xml:space="preserve">are </w:t>
      </w:r>
      <w:r w:rsidR="00320230">
        <w:t xml:space="preserve">also </w:t>
      </w:r>
      <w:r w:rsidR="00C66D6C">
        <w:t xml:space="preserve">then </w:t>
      </w:r>
      <w:r w:rsidR="00320230">
        <w:t xml:space="preserve">able </w:t>
      </w:r>
      <w:r w:rsidR="00C66D6C">
        <w:t xml:space="preserve">to </w:t>
      </w:r>
      <w:r w:rsidR="00FC7C24">
        <w:t xml:space="preserve">estimate </w:t>
      </w:r>
      <w:r w:rsidR="007B0E0E">
        <w:t xml:space="preserve">the </w:t>
      </w:r>
      <w:r w:rsidR="000E0C1E">
        <w:t xml:space="preserve">cumulative </w:t>
      </w:r>
      <w:r w:rsidR="00FC7C24">
        <w:t xml:space="preserve">costs of </w:t>
      </w:r>
      <w:r w:rsidR="00B801CC">
        <w:t xml:space="preserve">JE </w:t>
      </w:r>
      <w:r w:rsidR="00FC7C24">
        <w:t>cases where the number of defendants</w:t>
      </w:r>
      <w:r w:rsidR="00010545">
        <w:t xml:space="preserve"> varies </w:t>
      </w:r>
      <w:r w:rsidR="00FC7C24">
        <w:t>to that of the ‘average case’.</w:t>
      </w:r>
      <w:r w:rsidR="007B0E0E">
        <w:t xml:space="preserve"> </w:t>
      </w:r>
      <w:r w:rsidR="00320230">
        <w:t>As our research demonstrates, and the CPS</w:t>
      </w:r>
      <w:r w:rsidR="003B0345">
        <w:t xml:space="preserve"> </w:t>
      </w:r>
      <w:r w:rsidR="00320230">
        <w:t>attests, cases can have</w:t>
      </w:r>
      <w:r w:rsidR="007C7704">
        <w:t xml:space="preserve"> </w:t>
      </w:r>
      <w:r w:rsidR="002867EA">
        <w:t>more than</w:t>
      </w:r>
      <w:r w:rsidR="00223A67">
        <w:t xml:space="preserve"> </w:t>
      </w:r>
      <w:r w:rsidR="007C7704">
        <w:t>1</w:t>
      </w:r>
      <w:r w:rsidR="00223A67">
        <w:t>0</w:t>
      </w:r>
      <w:r w:rsidR="007C7704">
        <w:t xml:space="preserve"> defendants</w:t>
      </w:r>
      <w:r w:rsidR="00223A67">
        <w:t>.</w:t>
      </w:r>
      <w:r w:rsidR="002D7D27">
        <w:t xml:space="preserve"> In the following sections we outline the </w:t>
      </w:r>
      <w:r w:rsidR="00E21460">
        <w:t>decisions and data sources that underpin the calculations on page one of the briefing.</w:t>
      </w:r>
    </w:p>
    <w:p w14:paraId="436AD8B7" w14:textId="5DCCD0BF" w:rsidR="007E0E7C" w:rsidRDefault="00B040E0" w:rsidP="009D6CE8">
      <w:r w:rsidRPr="00F4601C">
        <w:rPr>
          <w:b/>
          <w:bCs/>
          <w:color w:val="000000" w:themeColor="text1"/>
        </w:rPr>
        <w:t>C</w:t>
      </w:r>
      <w:r w:rsidR="004D27D4" w:rsidRPr="00F4601C">
        <w:rPr>
          <w:b/>
          <w:bCs/>
          <w:color w:val="000000" w:themeColor="text1"/>
        </w:rPr>
        <w:t>alculat</w:t>
      </w:r>
      <w:r w:rsidR="00EF3789" w:rsidRPr="00F4601C">
        <w:rPr>
          <w:b/>
          <w:bCs/>
          <w:color w:val="000000" w:themeColor="text1"/>
        </w:rPr>
        <w:t>ing</w:t>
      </w:r>
      <w:r w:rsidR="004D27D4" w:rsidRPr="00F4601C">
        <w:rPr>
          <w:b/>
          <w:bCs/>
          <w:color w:val="000000" w:themeColor="text1"/>
        </w:rPr>
        <w:t xml:space="preserve"> the scale of </w:t>
      </w:r>
      <w:r w:rsidR="000B47B7" w:rsidRPr="00F4601C">
        <w:rPr>
          <w:b/>
          <w:bCs/>
          <w:color w:val="000000" w:themeColor="text1"/>
        </w:rPr>
        <w:t>J</w:t>
      </w:r>
      <w:r w:rsidR="004D27D4" w:rsidRPr="00F4601C">
        <w:rPr>
          <w:b/>
          <w:bCs/>
          <w:color w:val="000000" w:themeColor="text1"/>
        </w:rPr>
        <w:t xml:space="preserve">oint </w:t>
      </w:r>
      <w:r w:rsidR="000B47B7" w:rsidRPr="00F4601C">
        <w:rPr>
          <w:b/>
          <w:bCs/>
          <w:color w:val="000000" w:themeColor="text1"/>
        </w:rPr>
        <w:t>E</w:t>
      </w:r>
      <w:r w:rsidR="004D27D4" w:rsidRPr="00F4601C">
        <w:rPr>
          <w:b/>
          <w:bCs/>
          <w:color w:val="000000" w:themeColor="text1"/>
        </w:rPr>
        <w:t>nterprise use in England and Wales</w:t>
      </w:r>
      <w:r w:rsidR="00BF6998" w:rsidRPr="00F4601C">
        <w:rPr>
          <w:b/>
          <w:bCs/>
          <w:color w:val="000000" w:themeColor="text1"/>
        </w:rPr>
        <w:t>:</w:t>
      </w:r>
      <w:r w:rsidR="00BF6998">
        <w:rPr>
          <w:b/>
          <w:bCs/>
        </w:rPr>
        <w:t xml:space="preserve"> </w:t>
      </w:r>
      <w:r w:rsidR="004D27D4">
        <w:t xml:space="preserve">Similar challenges </w:t>
      </w:r>
      <w:r w:rsidR="00861FCC">
        <w:t xml:space="preserve">arise when </w:t>
      </w:r>
      <w:r w:rsidR="004D27D4">
        <w:t xml:space="preserve">calculating the use of JE. </w:t>
      </w:r>
      <w:r w:rsidR="005E4DD8">
        <w:t>Whilst the CPS flagging pilot</w:t>
      </w:r>
      <w:r w:rsidR="000B714B">
        <w:t xml:space="preserve"> </w:t>
      </w:r>
      <w:r w:rsidR="00645DA0">
        <w:t xml:space="preserve">(2023) </w:t>
      </w:r>
      <w:r w:rsidR="000B714B">
        <w:t>provides some indication</w:t>
      </w:r>
      <w:r w:rsidR="00F52C19">
        <w:t xml:space="preserve"> of</w:t>
      </w:r>
      <w:r w:rsidR="005E4DD8">
        <w:t xml:space="preserve"> scale</w:t>
      </w:r>
      <w:r w:rsidR="00B121CC">
        <w:t>,</w:t>
      </w:r>
      <w:r w:rsidR="00BC32E4">
        <w:t xml:space="preserve"> there remain challenges with confidently estimating use of JE</w:t>
      </w:r>
      <w:r w:rsidR="00CC634C">
        <w:t xml:space="preserve">. </w:t>
      </w:r>
      <w:r w:rsidR="00C906B8">
        <w:t>The CPS pilot</w:t>
      </w:r>
      <w:r w:rsidR="00EE11BB" w:rsidRPr="00ED1C7A">
        <w:rPr>
          <w:rStyle w:val="FootnoteReference"/>
          <w:strike/>
        </w:rPr>
        <w:footnoteReference w:id="5"/>
      </w:r>
      <w:r w:rsidR="00967D0B">
        <w:t xml:space="preserve"> </w:t>
      </w:r>
      <w:r w:rsidR="00D32AF1" w:rsidRPr="00B04184">
        <w:t>identified</w:t>
      </w:r>
      <w:r w:rsidR="00D32AF1">
        <w:t xml:space="preserve"> 190 cases of Homicide or Attempted Homicide prosecuted using</w:t>
      </w:r>
      <w:r w:rsidR="000B47B7">
        <w:t xml:space="preserve"> JE</w:t>
      </w:r>
      <w:r w:rsidR="00D32AF1">
        <w:t xml:space="preserve"> in the </w:t>
      </w:r>
      <w:r w:rsidR="00AC0742">
        <w:t xml:space="preserve">pilot </w:t>
      </w:r>
      <w:r w:rsidR="00D32AF1">
        <w:t>period</w:t>
      </w:r>
      <w:r w:rsidR="00DD289F">
        <w:t xml:space="preserve"> of six months</w:t>
      </w:r>
      <w:r w:rsidR="000B47B7">
        <w:t xml:space="preserve"> (Feb – Sept 2023)</w:t>
      </w:r>
      <w:r w:rsidR="00AC0742">
        <w:t xml:space="preserve">, </w:t>
      </w:r>
      <w:r w:rsidR="00356207">
        <w:t xml:space="preserve">involving the </w:t>
      </w:r>
      <w:r w:rsidR="00BF6CFE">
        <w:t xml:space="preserve">prosecution of </w:t>
      </w:r>
      <w:r w:rsidR="00D32AF1">
        <w:t>680 defendants</w:t>
      </w:r>
      <w:r w:rsidR="00DA7431">
        <w:t xml:space="preserve"> with a</w:t>
      </w:r>
      <w:r w:rsidR="00D32AF1">
        <w:t xml:space="preserve">n average of 3.57 defendants per JE case. </w:t>
      </w:r>
    </w:p>
    <w:p w14:paraId="58FB807E" w14:textId="77CF5B4D" w:rsidR="00FC7408" w:rsidRDefault="001C66AA" w:rsidP="009D6CE8">
      <w:r w:rsidRPr="00F4601C">
        <w:rPr>
          <w:b/>
          <w:bCs/>
          <w:color w:val="000000" w:themeColor="text1"/>
        </w:rPr>
        <w:t xml:space="preserve">Distinguishing between </w:t>
      </w:r>
      <w:r w:rsidR="0049539A" w:rsidRPr="00F4601C">
        <w:rPr>
          <w:b/>
          <w:bCs/>
          <w:color w:val="000000" w:themeColor="text1"/>
        </w:rPr>
        <w:t xml:space="preserve">‘principal’ </w:t>
      </w:r>
      <w:r w:rsidR="00845287" w:rsidRPr="00F4601C">
        <w:rPr>
          <w:b/>
          <w:bCs/>
          <w:color w:val="000000" w:themeColor="text1"/>
        </w:rPr>
        <w:t xml:space="preserve">and </w:t>
      </w:r>
      <w:r w:rsidR="0049539A" w:rsidRPr="00F4601C">
        <w:rPr>
          <w:b/>
          <w:bCs/>
          <w:color w:val="000000" w:themeColor="text1"/>
        </w:rPr>
        <w:t>‘s</w:t>
      </w:r>
      <w:r w:rsidR="00845287" w:rsidRPr="00F4601C">
        <w:rPr>
          <w:b/>
          <w:bCs/>
          <w:color w:val="000000" w:themeColor="text1"/>
        </w:rPr>
        <w:t>econdary</w:t>
      </w:r>
      <w:r w:rsidR="0049539A" w:rsidRPr="00F4601C">
        <w:rPr>
          <w:b/>
          <w:bCs/>
          <w:color w:val="000000" w:themeColor="text1"/>
        </w:rPr>
        <w:t>’</w:t>
      </w:r>
      <w:r w:rsidR="00845287" w:rsidRPr="00F4601C">
        <w:rPr>
          <w:b/>
          <w:bCs/>
          <w:color w:val="000000" w:themeColor="text1"/>
        </w:rPr>
        <w:t xml:space="preserve"> </w:t>
      </w:r>
      <w:r w:rsidR="0049539A" w:rsidRPr="00F4601C">
        <w:rPr>
          <w:b/>
          <w:bCs/>
          <w:color w:val="000000" w:themeColor="text1"/>
        </w:rPr>
        <w:t>d</w:t>
      </w:r>
      <w:r w:rsidR="00845287" w:rsidRPr="00F4601C">
        <w:rPr>
          <w:b/>
          <w:bCs/>
          <w:color w:val="000000" w:themeColor="text1"/>
        </w:rPr>
        <w:t>efendants:</w:t>
      </w:r>
      <w:r w:rsidR="00845287">
        <w:t xml:space="preserve">  </w:t>
      </w:r>
      <w:r w:rsidR="006C34F4">
        <w:t>Within the CPS pilot t</w:t>
      </w:r>
      <w:r w:rsidR="000A028A">
        <w:t>here is</w:t>
      </w:r>
      <w:r w:rsidR="005B3AB0">
        <w:t xml:space="preserve"> a lack of </w:t>
      </w:r>
      <w:r w:rsidR="001C155E">
        <w:t>clarity regarding the</w:t>
      </w:r>
      <w:r w:rsidR="00443C7E">
        <w:t xml:space="preserve"> attribution</w:t>
      </w:r>
      <w:r w:rsidR="008F0383">
        <w:t xml:space="preserve"> of </w:t>
      </w:r>
      <w:r w:rsidR="000A028A" w:rsidRPr="001821DD">
        <w:rPr>
          <w:i/>
          <w:iCs/>
        </w:rPr>
        <w:t>principal</w:t>
      </w:r>
      <w:r w:rsidR="000A028A">
        <w:t xml:space="preserve"> versus </w:t>
      </w:r>
      <w:r w:rsidR="000A028A" w:rsidRPr="001821DD">
        <w:rPr>
          <w:i/>
          <w:iCs/>
        </w:rPr>
        <w:t>secondary</w:t>
      </w:r>
      <w:r w:rsidR="000A028A">
        <w:t xml:space="preserve"> defendants</w:t>
      </w:r>
      <w:r w:rsidR="00096FC5">
        <w:t xml:space="preserve">. </w:t>
      </w:r>
      <w:r w:rsidR="00435682">
        <w:t xml:space="preserve">What level of </w:t>
      </w:r>
      <w:r w:rsidR="00960C1B">
        <w:t>alleged c</w:t>
      </w:r>
      <w:r w:rsidR="00435682">
        <w:t>ontribution is required to be a ‘</w:t>
      </w:r>
      <w:r w:rsidR="00FD02BE">
        <w:t>principal</w:t>
      </w:r>
      <w:r w:rsidR="00435682">
        <w:t xml:space="preserve">’ remains a vexed issue. Often the prosecution </w:t>
      </w:r>
      <w:r w:rsidR="00FD02BE">
        <w:t>establishe</w:t>
      </w:r>
      <w:r w:rsidR="00E723BB">
        <w:t>s</w:t>
      </w:r>
      <w:r w:rsidR="00FD02BE">
        <w:t xml:space="preserve"> </w:t>
      </w:r>
      <w:r w:rsidR="00435682">
        <w:t xml:space="preserve">a defendant as </w:t>
      </w:r>
      <w:r w:rsidR="00FD02BE">
        <w:t>the ‘stabber’</w:t>
      </w:r>
      <w:r w:rsidR="00E723BB">
        <w:t>,</w:t>
      </w:r>
      <w:r w:rsidR="00FD02BE">
        <w:t xml:space="preserve"> </w:t>
      </w:r>
      <w:r w:rsidR="00435682">
        <w:t xml:space="preserve">‘knife man’ </w:t>
      </w:r>
      <w:r w:rsidR="00FD02BE">
        <w:t xml:space="preserve">or the individual who </w:t>
      </w:r>
      <w:r w:rsidR="00E000D6">
        <w:t>struck the</w:t>
      </w:r>
      <w:r w:rsidR="00DD289F">
        <w:t xml:space="preserve"> </w:t>
      </w:r>
      <w:r w:rsidR="00FD02BE">
        <w:t>’fatal blow’</w:t>
      </w:r>
      <w:r w:rsidR="00182220">
        <w:t>.</w:t>
      </w:r>
      <w:r w:rsidR="00FD02BE">
        <w:t xml:space="preserve"> </w:t>
      </w:r>
      <w:r w:rsidR="005F7E12">
        <w:t xml:space="preserve">Research shows </w:t>
      </w:r>
      <w:r w:rsidR="00A303B2">
        <w:t xml:space="preserve">that in many cases defendants </w:t>
      </w:r>
      <w:r w:rsidR="00D773FA">
        <w:t>are not at the scene or do not engage in violence</w:t>
      </w:r>
      <w:r w:rsidR="00F9587C">
        <w:t>.</w:t>
      </w:r>
      <w:r w:rsidR="00D37D68">
        <w:rPr>
          <w:rStyle w:val="FootnoteReference"/>
        </w:rPr>
        <w:footnoteReference w:id="6"/>
      </w:r>
      <w:r w:rsidR="00F9587C">
        <w:t xml:space="preserve"> </w:t>
      </w:r>
    </w:p>
    <w:p w14:paraId="5962109E" w14:textId="578117B7" w:rsidR="009438F6" w:rsidRDefault="00CF51B7" w:rsidP="009D6CE8">
      <w:r w:rsidRPr="00F4601C">
        <w:rPr>
          <w:b/>
          <w:bCs/>
          <w:color w:val="000000" w:themeColor="text1"/>
        </w:rPr>
        <w:t xml:space="preserve">Number of JE defendants </w:t>
      </w:r>
      <w:r w:rsidR="003F4126" w:rsidRPr="00F4601C">
        <w:rPr>
          <w:b/>
          <w:bCs/>
          <w:color w:val="000000" w:themeColor="text1"/>
        </w:rPr>
        <w:t xml:space="preserve">acted against </w:t>
      </w:r>
      <w:r w:rsidR="00F6289A" w:rsidRPr="00F4601C">
        <w:rPr>
          <w:b/>
          <w:bCs/>
          <w:color w:val="000000" w:themeColor="text1"/>
        </w:rPr>
        <w:t xml:space="preserve">in </w:t>
      </w:r>
      <w:r w:rsidR="00414E3B" w:rsidRPr="00F4601C">
        <w:rPr>
          <w:b/>
          <w:bCs/>
          <w:color w:val="000000" w:themeColor="text1"/>
        </w:rPr>
        <w:t>JE cases:</w:t>
      </w:r>
      <w:r w:rsidR="00414E3B">
        <w:t xml:space="preserve">  </w:t>
      </w:r>
      <w:r w:rsidR="00C80948">
        <w:t>T</w:t>
      </w:r>
      <w:r w:rsidR="00930F44">
        <w:t xml:space="preserve">o calculate the average number of JE defendants prosecuted, we draw on the </w:t>
      </w:r>
      <w:r w:rsidR="00C34FAF">
        <w:t>six</w:t>
      </w:r>
      <w:r w:rsidR="00E553EE">
        <w:t>-</w:t>
      </w:r>
      <w:r w:rsidR="00C34FAF">
        <w:t xml:space="preserve">month </w:t>
      </w:r>
      <w:r w:rsidR="0001593F">
        <w:t xml:space="preserve">CPS flagging </w:t>
      </w:r>
      <w:r w:rsidR="00F33237">
        <w:t>pilot</w:t>
      </w:r>
      <w:r w:rsidR="00C34FAF">
        <w:t>.</w:t>
      </w:r>
      <w:r w:rsidR="00753AFB">
        <w:t xml:space="preserve"> </w:t>
      </w:r>
      <w:r w:rsidR="00C34FAF">
        <w:t>D</w:t>
      </w:r>
      <w:r w:rsidR="00753AFB">
        <w:t xml:space="preserve">oubling </w:t>
      </w:r>
      <w:r w:rsidR="00F26B1B">
        <w:t xml:space="preserve">to give an annual figure of </w:t>
      </w:r>
      <w:r w:rsidR="0001593F">
        <w:t>380 cases involving 1,360 defendants</w:t>
      </w:r>
      <w:r w:rsidR="00E04960">
        <w:t xml:space="preserve"> each year</w:t>
      </w:r>
      <w:r w:rsidR="0001593F">
        <w:t xml:space="preserve">. </w:t>
      </w:r>
      <w:r w:rsidR="00E553EE">
        <w:t>W</w:t>
      </w:r>
      <w:r w:rsidR="0001593F">
        <w:t>e recognise not all thes</w:t>
      </w:r>
      <w:r w:rsidR="002D423A">
        <w:t>e</w:t>
      </w:r>
      <w:r w:rsidR="0001593F">
        <w:t xml:space="preserve"> defendants will be found guilty. </w:t>
      </w:r>
      <w:r w:rsidR="000D6857">
        <w:t>To address this</w:t>
      </w:r>
      <w:r w:rsidR="00D078EA">
        <w:t>,</w:t>
      </w:r>
      <w:r w:rsidR="000D6857">
        <w:t xml:space="preserve"> we </w:t>
      </w:r>
      <w:r w:rsidR="0027227B">
        <w:t xml:space="preserve">draw upon </w:t>
      </w:r>
      <w:r w:rsidR="003C46F5">
        <w:t xml:space="preserve">the most recent </w:t>
      </w:r>
      <w:r w:rsidR="00E553EE">
        <w:t xml:space="preserve">CPS data on </w:t>
      </w:r>
      <w:r w:rsidR="001D1E35">
        <w:t xml:space="preserve">homicide conversion rates which stands at </w:t>
      </w:r>
      <w:r w:rsidR="002D423A">
        <w:t xml:space="preserve">just over </w:t>
      </w:r>
      <w:r w:rsidR="001D1E35">
        <w:t>80%</w:t>
      </w:r>
      <w:r w:rsidR="0029478F">
        <w:t>.</w:t>
      </w:r>
      <w:r w:rsidR="004826D2">
        <w:rPr>
          <w:rStyle w:val="FootnoteReference"/>
        </w:rPr>
        <w:footnoteReference w:id="7"/>
      </w:r>
      <w:r w:rsidR="0029478F">
        <w:t xml:space="preserve"> </w:t>
      </w:r>
      <w:r w:rsidR="00E8299D">
        <w:t>Us</w:t>
      </w:r>
      <w:r w:rsidR="0092151F">
        <w:t xml:space="preserve">ing this to estimate prosecution to conviction rates of the </w:t>
      </w:r>
      <w:r w:rsidR="0001593F">
        <w:t>1,360 defendants</w:t>
      </w:r>
      <w:r w:rsidR="004B0AA6">
        <w:t>,</w:t>
      </w:r>
      <w:r w:rsidR="002F05B7">
        <w:t xml:space="preserve"> </w:t>
      </w:r>
      <w:r w:rsidR="009C4EE3">
        <w:t xml:space="preserve">we estimate </w:t>
      </w:r>
      <w:r w:rsidR="0001593F">
        <w:t xml:space="preserve">1,088 </w:t>
      </w:r>
      <w:r w:rsidR="002F05B7">
        <w:t xml:space="preserve">would be </w:t>
      </w:r>
      <w:r w:rsidR="0001593F">
        <w:t xml:space="preserve">convicted using JE each year. </w:t>
      </w:r>
    </w:p>
    <w:p w14:paraId="0A90E593" w14:textId="77777777" w:rsidR="004474DB" w:rsidRDefault="004474DB" w:rsidP="00AF1F1F">
      <w:pPr>
        <w:spacing w:after="0" w:line="240" w:lineRule="auto"/>
        <w:rPr>
          <w:b/>
          <w:bCs/>
          <w:color w:val="000000" w:themeColor="text1"/>
        </w:rPr>
      </w:pPr>
    </w:p>
    <w:p w14:paraId="182B349C" w14:textId="2D17F14D" w:rsidR="00AF1F1F" w:rsidRPr="006E64AA" w:rsidRDefault="00D4315F" w:rsidP="00AF1F1F">
      <w:pPr>
        <w:spacing w:after="0" w:line="240" w:lineRule="auto"/>
      </w:pPr>
      <w:r w:rsidRPr="00F4601C">
        <w:rPr>
          <w:b/>
          <w:bCs/>
          <w:color w:val="000000" w:themeColor="text1"/>
        </w:rPr>
        <w:lastRenderedPageBreak/>
        <w:t>Further c</w:t>
      </w:r>
      <w:r w:rsidR="008A157F" w:rsidRPr="00F4601C">
        <w:rPr>
          <w:b/>
          <w:bCs/>
          <w:color w:val="000000" w:themeColor="text1"/>
        </w:rPr>
        <w:t>osts of imprisonment</w:t>
      </w:r>
      <w:r w:rsidR="0024614D" w:rsidRPr="00F4601C">
        <w:rPr>
          <w:b/>
          <w:bCs/>
          <w:color w:val="000000" w:themeColor="text1"/>
        </w:rPr>
        <w:t xml:space="preserve"> - accounting for age and gender</w:t>
      </w:r>
      <w:r w:rsidR="008A157F" w:rsidRPr="00F4601C">
        <w:rPr>
          <w:b/>
          <w:bCs/>
          <w:color w:val="000000" w:themeColor="text1"/>
        </w:rPr>
        <w:t>:</w:t>
      </w:r>
      <w:r w:rsidR="008A157F" w:rsidRPr="00F4601C">
        <w:rPr>
          <w:color w:val="000000" w:themeColor="text1"/>
        </w:rPr>
        <w:t xml:space="preserve">  </w:t>
      </w:r>
      <w:r w:rsidR="00EB66DD">
        <w:t xml:space="preserve">The following </w:t>
      </w:r>
      <w:r>
        <w:t xml:space="preserve">are </w:t>
      </w:r>
      <w:r w:rsidR="0095656A">
        <w:t xml:space="preserve">annual </w:t>
      </w:r>
      <w:r w:rsidR="00EB66DD">
        <w:t>cost per prisoner for a place</w:t>
      </w:r>
      <w:r w:rsidR="00B24124">
        <w:t xml:space="preserve"> in different custodial settings.</w:t>
      </w:r>
      <w:r w:rsidR="0095656A">
        <w:rPr>
          <w:rStyle w:val="FootnoteReference"/>
        </w:rPr>
        <w:footnoteReference w:id="8"/>
      </w:r>
      <w:r w:rsidR="0095656A">
        <w:t xml:space="preserve">  </w:t>
      </w:r>
      <w:r w:rsidR="00502D02">
        <w:t xml:space="preserve">To calculate a cost of </w:t>
      </w:r>
      <w:r w:rsidR="009C4EE3">
        <w:t xml:space="preserve">prison on </w:t>
      </w:r>
      <w:r w:rsidR="00502D02">
        <w:t>remand</w:t>
      </w:r>
      <w:r w:rsidR="003F218B">
        <w:t xml:space="preserve"> </w:t>
      </w:r>
      <w:r w:rsidR="00502D02">
        <w:t xml:space="preserve">we </w:t>
      </w:r>
      <w:r w:rsidR="007E0E0B">
        <w:t xml:space="preserve">use </w:t>
      </w:r>
      <w:r w:rsidR="00502D02">
        <w:t xml:space="preserve">the </w:t>
      </w:r>
      <w:r w:rsidR="00B24124">
        <w:t xml:space="preserve">average </w:t>
      </w:r>
      <w:r w:rsidR="0095656A">
        <w:t xml:space="preserve">cost per </w:t>
      </w:r>
      <w:r w:rsidR="003C0512">
        <w:t xml:space="preserve">male </w:t>
      </w:r>
      <w:r w:rsidR="0095656A">
        <w:t xml:space="preserve">prisoner </w:t>
      </w:r>
      <w:r w:rsidR="007E0E0B">
        <w:t xml:space="preserve">of </w:t>
      </w:r>
      <w:r w:rsidR="0095656A">
        <w:t>£4</w:t>
      </w:r>
      <w:r w:rsidR="003C0512">
        <w:t>6</w:t>
      </w:r>
      <w:r w:rsidR="0095656A">
        <w:t>,</w:t>
      </w:r>
      <w:r w:rsidR="003C0512">
        <w:t>546</w:t>
      </w:r>
      <w:r w:rsidR="00353E55">
        <w:t xml:space="preserve">. </w:t>
      </w:r>
      <w:r w:rsidR="004B0AA6">
        <w:t xml:space="preserve">To </w:t>
      </w:r>
      <w:r w:rsidR="00353E55">
        <w:t>calculat</w:t>
      </w:r>
      <w:r w:rsidR="004B0AA6">
        <w:t>e</w:t>
      </w:r>
      <w:r w:rsidR="00353E55">
        <w:t xml:space="preserve"> </w:t>
      </w:r>
      <w:r w:rsidR="007E0E0B">
        <w:t xml:space="preserve">a </w:t>
      </w:r>
      <w:r w:rsidR="00353E55">
        <w:t>punishment cost we have used the Male dispersal cost.</w:t>
      </w:r>
      <w:r w:rsidR="005F2A40">
        <w:t xml:space="preserve"> </w:t>
      </w:r>
      <w:r w:rsidR="00AF1F1F">
        <w:t xml:space="preserve">When calculating costs of punishment prison costs are significantly greater for young people and women. The CPS data indicates a substantial number of children (n=95; 14%) and young adults aged 18-24 (n=271; 40%), as well as some (47; 7%) female defendants. </w:t>
      </w:r>
    </w:p>
    <w:p w14:paraId="5FD70943" w14:textId="77777777" w:rsidR="006E64AA" w:rsidRDefault="006E64AA" w:rsidP="006E64AA">
      <w:pPr>
        <w:pStyle w:val="NoSpacing"/>
      </w:pPr>
    </w:p>
    <w:p w14:paraId="376E60CD" w14:textId="1E773FCB" w:rsidR="004943C0" w:rsidRPr="004943C0" w:rsidRDefault="0095656A" w:rsidP="003F218B">
      <w:pPr>
        <w:rPr>
          <w:sz w:val="20"/>
          <w:szCs w:val="20"/>
        </w:rPr>
      </w:pPr>
      <w:r w:rsidRPr="004943C0">
        <w:rPr>
          <w:sz w:val="20"/>
          <w:szCs w:val="20"/>
        </w:rPr>
        <w:t>Male (dispersal / cat A prison plac</w:t>
      </w:r>
      <w:r w:rsidR="004943C0" w:rsidRPr="004943C0">
        <w:rPr>
          <w:sz w:val="20"/>
          <w:szCs w:val="20"/>
        </w:rPr>
        <w:t xml:space="preserve">e) = </w:t>
      </w:r>
      <w:r w:rsidRPr="004943C0">
        <w:rPr>
          <w:sz w:val="20"/>
          <w:szCs w:val="20"/>
        </w:rPr>
        <w:t>£51, 580</w:t>
      </w:r>
      <w:r w:rsidR="004943C0" w:rsidRPr="004943C0">
        <w:rPr>
          <w:sz w:val="20"/>
          <w:szCs w:val="20"/>
        </w:rPr>
        <w:tab/>
      </w:r>
      <w:r w:rsidR="004943C0" w:rsidRPr="004943C0">
        <w:rPr>
          <w:sz w:val="20"/>
          <w:szCs w:val="20"/>
        </w:rPr>
        <w:tab/>
      </w:r>
      <w:r w:rsidRPr="004943C0">
        <w:rPr>
          <w:sz w:val="20"/>
          <w:szCs w:val="20"/>
        </w:rPr>
        <w:t>Male YOI (</w:t>
      </w:r>
      <w:proofErr w:type="gramStart"/>
      <w:r w:rsidRPr="004943C0">
        <w:rPr>
          <w:sz w:val="20"/>
          <w:szCs w:val="20"/>
        </w:rPr>
        <w:t>18-21 year olds</w:t>
      </w:r>
      <w:proofErr w:type="gramEnd"/>
      <w:r w:rsidRPr="004943C0">
        <w:rPr>
          <w:sz w:val="20"/>
          <w:szCs w:val="20"/>
        </w:rPr>
        <w:t>)</w:t>
      </w:r>
      <w:r w:rsidR="004943C0" w:rsidRPr="004943C0">
        <w:rPr>
          <w:sz w:val="20"/>
          <w:szCs w:val="20"/>
        </w:rPr>
        <w:t xml:space="preserve"> = </w:t>
      </w:r>
      <w:r w:rsidRPr="004943C0">
        <w:rPr>
          <w:sz w:val="20"/>
          <w:szCs w:val="20"/>
        </w:rPr>
        <w:t>£63, 988</w:t>
      </w:r>
    </w:p>
    <w:p w14:paraId="47605381" w14:textId="533E1440" w:rsidR="0095656A" w:rsidRPr="004943C0" w:rsidRDefault="0095656A" w:rsidP="003F218B">
      <w:pPr>
        <w:rPr>
          <w:sz w:val="20"/>
          <w:szCs w:val="20"/>
        </w:rPr>
      </w:pPr>
      <w:r w:rsidRPr="004943C0">
        <w:rPr>
          <w:sz w:val="20"/>
          <w:szCs w:val="20"/>
        </w:rPr>
        <w:t xml:space="preserve">Child (15 - 17 </w:t>
      </w:r>
      <w:proofErr w:type="gramStart"/>
      <w:r w:rsidRPr="004943C0">
        <w:rPr>
          <w:sz w:val="20"/>
          <w:szCs w:val="20"/>
        </w:rPr>
        <w:t>years)</w:t>
      </w:r>
      <w:r w:rsidR="004943C0" w:rsidRPr="004943C0">
        <w:rPr>
          <w:sz w:val="20"/>
          <w:szCs w:val="20"/>
        </w:rPr>
        <w:t>=</w:t>
      </w:r>
      <w:proofErr w:type="gramEnd"/>
      <w:r w:rsidR="004943C0" w:rsidRPr="004943C0">
        <w:rPr>
          <w:sz w:val="20"/>
          <w:szCs w:val="20"/>
        </w:rPr>
        <w:t xml:space="preserve"> </w:t>
      </w:r>
      <w:r w:rsidRPr="004943C0">
        <w:rPr>
          <w:sz w:val="20"/>
          <w:szCs w:val="20"/>
        </w:rPr>
        <w:t>£153, 560</w:t>
      </w:r>
      <w:r w:rsidR="004943C0" w:rsidRPr="004943C0">
        <w:rPr>
          <w:sz w:val="20"/>
          <w:szCs w:val="20"/>
        </w:rPr>
        <w:tab/>
      </w:r>
      <w:r w:rsidR="004943C0" w:rsidRPr="004943C0">
        <w:rPr>
          <w:sz w:val="20"/>
          <w:szCs w:val="20"/>
        </w:rPr>
        <w:tab/>
      </w:r>
      <w:r w:rsidR="004943C0" w:rsidRPr="004943C0">
        <w:rPr>
          <w:sz w:val="20"/>
          <w:szCs w:val="20"/>
        </w:rPr>
        <w:tab/>
      </w:r>
      <w:r w:rsidR="004943C0" w:rsidRPr="004943C0">
        <w:rPr>
          <w:sz w:val="20"/>
          <w:szCs w:val="20"/>
        </w:rPr>
        <w:tab/>
      </w:r>
      <w:r w:rsidRPr="004943C0">
        <w:rPr>
          <w:sz w:val="20"/>
          <w:szCs w:val="20"/>
        </w:rPr>
        <w:t>Female (closed conditions)</w:t>
      </w:r>
      <w:r w:rsidR="004943C0" w:rsidRPr="004943C0">
        <w:rPr>
          <w:sz w:val="20"/>
          <w:szCs w:val="20"/>
        </w:rPr>
        <w:t xml:space="preserve">= </w:t>
      </w:r>
      <w:r w:rsidRPr="004943C0">
        <w:rPr>
          <w:sz w:val="20"/>
          <w:szCs w:val="20"/>
        </w:rPr>
        <w:t>£49, 228</w:t>
      </w:r>
    </w:p>
    <w:p w14:paraId="32CE0156" w14:textId="185FC8B7" w:rsidR="0095656A" w:rsidRDefault="00D4315F" w:rsidP="009D6CE8">
      <w:r w:rsidRPr="00F4601C">
        <w:rPr>
          <w:b/>
          <w:bCs/>
          <w:color w:val="000000" w:themeColor="text1"/>
        </w:rPr>
        <w:t xml:space="preserve">Further </w:t>
      </w:r>
      <w:r w:rsidR="00AF1F1F" w:rsidRPr="00F4601C">
        <w:rPr>
          <w:b/>
          <w:bCs/>
          <w:color w:val="000000" w:themeColor="text1"/>
        </w:rPr>
        <w:t xml:space="preserve">increased </w:t>
      </w:r>
      <w:r w:rsidR="000355EC" w:rsidRPr="00F4601C">
        <w:rPr>
          <w:b/>
          <w:bCs/>
          <w:color w:val="000000" w:themeColor="text1"/>
        </w:rPr>
        <w:t>CJS costs</w:t>
      </w:r>
      <w:r w:rsidR="00400F99" w:rsidRPr="00F4601C">
        <w:rPr>
          <w:b/>
          <w:bCs/>
          <w:color w:val="000000" w:themeColor="text1"/>
        </w:rPr>
        <w:t>:</w:t>
      </w:r>
      <w:r w:rsidR="00400F99" w:rsidRPr="00F7090F">
        <w:t xml:space="preserve"> </w:t>
      </w:r>
      <w:r w:rsidR="00DF1178" w:rsidRPr="00F7090F">
        <w:t>W</w:t>
      </w:r>
      <w:r w:rsidR="000355EC" w:rsidRPr="00F7090F">
        <w:t xml:space="preserve">e </w:t>
      </w:r>
      <w:r w:rsidR="00DF1178" w:rsidRPr="00F7090F">
        <w:t xml:space="preserve">are currently unable to </w:t>
      </w:r>
      <w:r w:rsidR="00163E2B" w:rsidRPr="00F7090F">
        <w:t>isolate</w:t>
      </w:r>
      <w:r w:rsidR="00DF1178" w:rsidRPr="00F7090F">
        <w:t xml:space="preserve"> </w:t>
      </w:r>
      <w:r w:rsidR="00A34A26" w:rsidRPr="00F7090F">
        <w:t xml:space="preserve">detailed </w:t>
      </w:r>
      <w:r w:rsidR="00DF1178" w:rsidRPr="00F7090F">
        <w:t>unit costs</w:t>
      </w:r>
      <w:r w:rsidR="003234D6" w:rsidRPr="00F7090F">
        <w:t xml:space="preserve"> </w:t>
      </w:r>
      <w:r w:rsidR="00A34A26" w:rsidRPr="00F7090F">
        <w:t xml:space="preserve">for </w:t>
      </w:r>
      <w:r w:rsidR="003234D6" w:rsidRPr="00F7090F">
        <w:t>polic</w:t>
      </w:r>
      <w:r w:rsidR="00A34A26" w:rsidRPr="00F7090F">
        <w:t>e</w:t>
      </w:r>
      <w:r w:rsidR="003234D6" w:rsidRPr="00F7090F">
        <w:t xml:space="preserve">, prosecution, magistrates and crown court, </w:t>
      </w:r>
      <w:r w:rsidR="00A34A26" w:rsidRPr="00F7090F">
        <w:t xml:space="preserve">and </w:t>
      </w:r>
      <w:r w:rsidR="003234D6" w:rsidRPr="00F7090F">
        <w:t>jury</w:t>
      </w:r>
      <w:r w:rsidR="00F33CB7" w:rsidRPr="00F7090F">
        <w:t xml:space="preserve"> – these are currently provided per homicide case</w:t>
      </w:r>
      <w:r w:rsidR="003234D6" w:rsidRPr="00F7090F">
        <w:t>.</w:t>
      </w:r>
      <w:r w:rsidR="003234D6" w:rsidRPr="00F7090F">
        <w:rPr>
          <w:rStyle w:val="FootnoteReference"/>
        </w:rPr>
        <w:footnoteReference w:id="9"/>
      </w:r>
      <w:r w:rsidR="00C30E08" w:rsidRPr="00F7090F">
        <w:t xml:space="preserve"> </w:t>
      </w:r>
      <w:r w:rsidR="00F33CB7" w:rsidRPr="00F7090F">
        <w:t xml:space="preserve">We have therefore not included any multiplier of these to reflect additional costs of </w:t>
      </w:r>
      <w:r w:rsidR="00BC4108">
        <w:t xml:space="preserve">police </w:t>
      </w:r>
      <w:r w:rsidR="00F7090F" w:rsidRPr="00F7090F">
        <w:t>investigat</w:t>
      </w:r>
      <w:r w:rsidR="00BC4108">
        <w:t>ions</w:t>
      </w:r>
      <w:r w:rsidR="00F7090F" w:rsidRPr="00F7090F">
        <w:t xml:space="preserve">, </w:t>
      </w:r>
      <w:r w:rsidR="00E5417F">
        <w:t xml:space="preserve">CPS </w:t>
      </w:r>
      <w:r w:rsidR="00F7090F" w:rsidRPr="00F7090F">
        <w:t xml:space="preserve">charge </w:t>
      </w:r>
      <w:r w:rsidR="00E5417F">
        <w:t xml:space="preserve">and prosecution </w:t>
      </w:r>
      <w:r w:rsidR="00F7090F" w:rsidRPr="00F7090F">
        <w:t xml:space="preserve">or </w:t>
      </w:r>
      <w:r w:rsidR="00E5417F">
        <w:t xml:space="preserve">court </w:t>
      </w:r>
      <w:r w:rsidR="00F7090F" w:rsidRPr="00F7090F">
        <w:t>process</w:t>
      </w:r>
      <w:r w:rsidR="00E5417F">
        <w:t xml:space="preserve">ing of multiple </w:t>
      </w:r>
      <w:r w:rsidR="003F218B">
        <w:t>defendants</w:t>
      </w:r>
      <w:r w:rsidR="00E5417F">
        <w:t xml:space="preserve"> in a JE case</w:t>
      </w:r>
      <w:r w:rsidR="00F7090F" w:rsidRPr="00F7090F">
        <w:t xml:space="preserve">. Yet </w:t>
      </w:r>
      <w:r w:rsidR="003F218B">
        <w:t xml:space="preserve">we </w:t>
      </w:r>
      <w:r w:rsidR="004943C0" w:rsidRPr="00F7090F">
        <w:t xml:space="preserve">know </w:t>
      </w:r>
      <w:r w:rsidR="00301C54" w:rsidRPr="00F7090F">
        <w:t xml:space="preserve">however </w:t>
      </w:r>
      <w:r w:rsidR="004943C0" w:rsidRPr="00F7090F">
        <w:t>that</w:t>
      </w:r>
      <w:r w:rsidR="00301C54" w:rsidRPr="00F7090F">
        <w:t>,</w:t>
      </w:r>
      <w:r w:rsidR="004943C0" w:rsidRPr="00F7090F">
        <w:t xml:space="preserve"> as a general principle</w:t>
      </w:r>
      <w:r w:rsidR="00301C54" w:rsidRPr="00F7090F">
        <w:t>,</w:t>
      </w:r>
      <w:r w:rsidR="004943C0" w:rsidRPr="00F7090F">
        <w:t xml:space="preserve"> complex cases take longer </w:t>
      </w:r>
      <w:r w:rsidR="00301C54" w:rsidRPr="00F7090F">
        <w:t xml:space="preserve">to process </w:t>
      </w:r>
      <w:r w:rsidR="004943C0" w:rsidRPr="00F7090F">
        <w:t>and therefore incur greater costs</w:t>
      </w:r>
      <w:r w:rsidR="00301C54" w:rsidRPr="00F7090F">
        <w:t xml:space="preserve"> to most </w:t>
      </w:r>
      <w:r w:rsidR="006572BE" w:rsidRPr="00F7090F">
        <w:t xml:space="preserve">agencies </w:t>
      </w:r>
      <w:r w:rsidR="00301C54" w:rsidRPr="00F7090F">
        <w:t>of the CJS</w:t>
      </w:r>
      <w:r w:rsidR="00D726EB" w:rsidRPr="00F7090F">
        <w:t>.</w:t>
      </w:r>
    </w:p>
    <w:p w14:paraId="10B93A16" w14:textId="00FB3F81" w:rsidR="005A54DE" w:rsidRPr="005B1640" w:rsidRDefault="006E64AA" w:rsidP="005A54DE">
      <w:pPr>
        <w:pStyle w:val="NoSpacing"/>
        <w:rPr>
          <w:b/>
          <w:bCs/>
        </w:rPr>
      </w:pPr>
      <w:r w:rsidRPr="008C7462">
        <w:rPr>
          <w:b/>
          <w:bCs/>
          <w:color w:val="000000" w:themeColor="text1"/>
        </w:rPr>
        <w:t>Baseline - c</w:t>
      </w:r>
      <w:r w:rsidR="005A54DE" w:rsidRPr="008C7462">
        <w:rPr>
          <w:b/>
          <w:bCs/>
          <w:color w:val="000000" w:themeColor="text1"/>
        </w:rPr>
        <w:t>ost of processing and punishing a Homicide case</w:t>
      </w:r>
      <w:r w:rsidRPr="008C7462">
        <w:rPr>
          <w:b/>
          <w:bCs/>
          <w:color w:val="000000" w:themeColor="text1"/>
        </w:rPr>
        <w:t xml:space="preserve">: </w:t>
      </w:r>
      <w:r>
        <w:t xml:space="preserve">The following lists the </w:t>
      </w:r>
      <w:r w:rsidR="006260F0">
        <w:t>baseline costs for a homicide case involving a single defendant</w:t>
      </w:r>
      <w:r w:rsidR="005A54DE" w:rsidRPr="005B1640">
        <w:rPr>
          <w:rStyle w:val="FootnoteReference"/>
          <w:b/>
          <w:bCs/>
        </w:rPr>
        <w:footnoteReference w:id="10"/>
      </w:r>
      <w:r w:rsidR="00A94D37">
        <w:t xml:space="preserve">. To calculate average sentences length in these homicide cases we draw on </w:t>
      </w:r>
      <w:r w:rsidR="00E558B5">
        <w:t xml:space="preserve">two sources which both indicate average of </w:t>
      </w:r>
      <w:r w:rsidR="000B6A11">
        <w:t>twenty-</w:t>
      </w:r>
      <w:r w:rsidR="00E558B5">
        <w:t>year tariff.</w:t>
      </w:r>
      <w:r w:rsidR="00E558B5">
        <w:rPr>
          <w:rStyle w:val="FootnoteReference"/>
        </w:rPr>
        <w:footnoteReference w:id="11"/>
      </w:r>
      <w:r w:rsidR="00E558B5">
        <w:t xml:space="preserve"> </w:t>
      </w:r>
    </w:p>
    <w:p w14:paraId="2CF61178" w14:textId="77777777" w:rsidR="005A54DE" w:rsidRDefault="005A54DE" w:rsidP="005A54DE">
      <w:pPr>
        <w:pStyle w:val="NoSpacing"/>
      </w:pPr>
    </w:p>
    <w:p w14:paraId="7A53316A" w14:textId="0B38CC0C" w:rsidR="00F91437" w:rsidRDefault="00F91437" w:rsidP="005A54DE">
      <w:pPr>
        <w:pStyle w:val="NoSpacing"/>
      </w:pPr>
      <w:r>
        <w:t>Table 1.</w:t>
      </w:r>
    </w:p>
    <w:p w14:paraId="7708FA43" w14:textId="3ABB2BF6" w:rsidR="005A54DE" w:rsidRDefault="005A54DE" w:rsidP="005A54DE">
      <w:pPr>
        <w:pStyle w:val="NoSpacing"/>
        <w:ind w:left="720"/>
      </w:pPr>
      <w:r>
        <w:t xml:space="preserve">Police </w:t>
      </w:r>
      <w:proofErr w:type="gramStart"/>
      <w:r w:rsidR="00556375">
        <w:t>costs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6F3">
        <w:t>£</w:t>
      </w:r>
      <w:r>
        <w:t>11,960</w:t>
      </w:r>
    </w:p>
    <w:p w14:paraId="2E75DC18" w14:textId="3D38C9FB" w:rsidR="005A54DE" w:rsidRDefault="005A54DE" w:rsidP="005A54DE">
      <w:pPr>
        <w:pStyle w:val="NoSpacing"/>
        <w:ind w:left="720"/>
      </w:pPr>
      <w:r>
        <w:t>Prosecution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6F3">
        <w:t>£</w:t>
      </w:r>
      <w:r>
        <w:t>22,640</w:t>
      </w:r>
    </w:p>
    <w:p w14:paraId="7A895304" w14:textId="46A96924" w:rsidR="005A54DE" w:rsidRDefault="005A54DE" w:rsidP="005A54DE">
      <w:pPr>
        <w:pStyle w:val="NoSpacing"/>
        <w:ind w:left="720"/>
      </w:pPr>
      <w:r>
        <w:t>Trial and hearing (Mags &amp; Crown costs; jury costs)</w:t>
      </w:r>
      <w:r>
        <w:tab/>
      </w:r>
      <w:r>
        <w:tab/>
      </w:r>
      <w:r>
        <w:tab/>
      </w:r>
      <w:r>
        <w:tab/>
      </w:r>
      <w:r w:rsidR="00CE26F3">
        <w:t>£</w:t>
      </w:r>
      <w:r>
        <w:t>42,910</w:t>
      </w:r>
    </w:p>
    <w:p w14:paraId="0142B98B" w14:textId="39BCAA8A" w:rsidR="005A54DE" w:rsidRPr="00477430" w:rsidRDefault="005A54DE" w:rsidP="005A54DE">
      <w:pPr>
        <w:pStyle w:val="NoSpacing"/>
        <w:ind w:left="720"/>
      </w:pPr>
      <w:r>
        <w:t>Defence costs (legal aid)</w:t>
      </w:r>
      <w:r w:rsidR="00C56D79" w:rsidRPr="00C56D79">
        <w:rPr>
          <w:rStyle w:val="FootnoteReference"/>
        </w:rPr>
        <w:t xml:space="preserve"> </w:t>
      </w:r>
      <w:r w:rsidR="00C56D79">
        <w:rPr>
          <w:rStyle w:val="FootnoteReference"/>
        </w:rPr>
        <w:footnoteReference w:id="12"/>
      </w:r>
      <w:r>
        <w:t xml:space="preserve"> </w:t>
      </w:r>
      <w:r w:rsidRPr="00477430">
        <w:rPr>
          <w:i/>
          <w:iCs/>
          <w:u w:val="single"/>
        </w:rPr>
        <w:t>per defendant</w:t>
      </w:r>
      <w:r>
        <w:tab/>
      </w:r>
      <w:r>
        <w:tab/>
      </w:r>
      <w:r>
        <w:tab/>
      </w:r>
      <w:r>
        <w:tab/>
      </w:r>
      <w:r>
        <w:tab/>
      </w:r>
      <w:r w:rsidR="00CE26F3">
        <w:t>£</w:t>
      </w:r>
      <w:r>
        <w:t>149,260</w:t>
      </w:r>
    </w:p>
    <w:p w14:paraId="77D4AAFC" w14:textId="4321B3EC" w:rsidR="005A54DE" w:rsidRDefault="005A54DE" w:rsidP="005A54DE">
      <w:pPr>
        <w:pStyle w:val="NoSpacing"/>
        <w:ind w:left="720"/>
      </w:pPr>
      <w:r>
        <w:t>Remand costs</w:t>
      </w:r>
      <w:r w:rsidR="00FF1BF9">
        <w:rPr>
          <w:rStyle w:val="FootnoteReference"/>
        </w:rPr>
        <w:footnoteReference w:id="13"/>
      </w:r>
      <w:r>
        <w:t xml:space="preserve"> </w:t>
      </w:r>
      <w:r w:rsidRPr="00477430">
        <w:rPr>
          <w:i/>
          <w:iCs/>
          <w:u w:val="single"/>
        </w:rPr>
        <w:t>per defendant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6F3">
        <w:t>£</w:t>
      </w:r>
      <w:r>
        <w:t>28,772</w:t>
      </w:r>
    </w:p>
    <w:p w14:paraId="34B08D2B" w14:textId="659DEFC6" w:rsidR="005A54DE" w:rsidRPr="009F3B7E" w:rsidRDefault="005A54DE" w:rsidP="005A54DE">
      <w:pPr>
        <w:pStyle w:val="NoSpacing"/>
        <w:ind w:firstLine="720"/>
        <w:rPr>
          <w:b/>
          <w:bCs/>
        </w:rPr>
      </w:pPr>
      <w:r>
        <w:t>Cost of prison sentence</w:t>
      </w:r>
      <w:r>
        <w:rPr>
          <w:rStyle w:val="FootnoteReference"/>
        </w:rPr>
        <w:footnoteReference w:id="14"/>
      </w:r>
      <w:r w:rsidR="00FB2FDE">
        <w:t xml:space="preserve"> </w:t>
      </w:r>
      <w:r w:rsidR="00FB2FDE" w:rsidRPr="00477430">
        <w:rPr>
          <w:i/>
          <w:iCs/>
          <w:u w:val="single"/>
        </w:rPr>
        <w:t>per defendant</w:t>
      </w:r>
      <w:r>
        <w:tab/>
      </w:r>
      <w:r>
        <w:tab/>
      </w:r>
      <w:r>
        <w:tab/>
      </w:r>
      <w:r>
        <w:tab/>
      </w:r>
      <w:r>
        <w:tab/>
      </w:r>
      <w:r>
        <w:tab/>
        <w:t>£1,031,600</w:t>
      </w:r>
    </w:p>
    <w:p w14:paraId="74248728" w14:textId="6E8EA8DD" w:rsidR="005A54DE" w:rsidRDefault="005A54DE" w:rsidP="005A54DE">
      <w:pPr>
        <w:pStyle w:val="NoSpacing"/>
        <w:ind w:firstLine="720"/>
      </w:pPr>
      <w:r>
        <w:t>Probation costs</w:t>
      </w:r>
      <w:r>
        <w:tab/>
      </w:r>
      <w:r w:rsidR="007A73D8" w:rsidRPr="00477430">
        <w:rPr>
          <w:i/>
          <w:iCs/>
          <w:u w:val="single"/>
        </w:rPr>
        <w:t>per defendant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6F3">
        <w:t>£</w:t>
      </w:r>
      <w:r>
        <w:t>35,930</w:t>
      </w:r>
    </w:p>
    <w:p w14:paraId="3861EFE2" w14:textId="47573B84" w:rsidR="005A54DE" w:rsidRPr="003007A7" w:rsidRDefault="005A54DE" w:rsidP="005A54DE">
      <w:pPr>
        <w:ind w:firstLine="720"/>
      </w:pPr>
      <w:r>
        <w:t>NOMS costs</w:t>
      </w:r>
      <w:r w:rsidR="007A73D8">
        <w:t xml:space="preserve"> </w:t>
      </w:r>
      <w:r w:rsidR="007A73D8" w:rsidRPr="00477430">
        <w:rPr>
          <w:i/>
          <w:iCs/>
          <w:u w:val="single"/>
        </w:rPr>
        <w:t>per defendant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£45,470</w:t>
      </w:r>
    </w:p>
    <w:p w14:paraId="203C8FBD" w14:textId="1A2E6ED9" w:rsidR="005A54DE" w:rsidRPr="001C37E3" w:rsidRDefault="005A54DE" w:rsidP="005A54DE">
      <w:pPr>
        <w:pBdr>
          <w:top w:val="single" w:sz="4" w:space="1" w:color="auto"/>
          <w:bottom w:val="single" w:sz="4" w:space="1" w:color="auto"/>
        </w:pBdr>
      </w:pPr>
      <w:r w:rsidRPr="009B4C4B">
        <w:rPr>
          <w:i/>
          <w:iCs/>
        </w:rPr>
        <w:t xml:space="preserve">Estimated cost for processing </w:t>
      </w:r>
      <w:r w:rsidR="003809DC">
        <w:rPr>
          <w:i/>
          <w:iCs/>
        </w:rPr>
        <w:t xml:space="preserve">and punishing </w:t>
      </w:r>
      <w:r>
        <w:rPr>
          <w:i/>
          <w:iCs/>
        </w:rPr>
        <w:t>a homicide case: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>£1,368,542</w:t>
      </w:r>
    </w:p>
    <w:p w14:paraId="50F2A12C" w14:textId="3FFCAAB2" w:rsidR="00EF3789" w:rsidRPr="008C7462" w:rsidRDefault="00EF3789" w:rsidP="009D6CE8">
      <w:pPr>
        <w:rPr>
          <w:b/>
          <w:bCs/>
          <w:color w:val="000000" w:themeColor="text1"/>
        </w:rPr>
      </w:pPr>
      <w:r w:rsidRPr="008C7462">
        <w:rPr>
          <w:b/>
          <w:bCs/>
          <w:color w:val="000000" w:themeColor="text1"/>
        </w:rPr>
        <w:t xml:space="preserve">Calculating </w:t>
      </w:r>
      <w:r w:rsidR="00D0618E" w:rsidRPr="008C7462">
        <w:rPr>
          <w:b/>
          <w:bCs/>
          <w:color w:val="000000" w:themeColor="text1"/>
        </w:rPr>
        <w:t xml:space="preserve">the cost of </w:t>
      </w:r>
      <w:r w:rsidR="00D0618E" w:rsidRPr="008C7462">
        <w:rPr>
          <w:b/>
          <w:bCs/>
          <w:i/>
          <w:iCs/>
          <w:color w:val="000000" w:themeColor="text1"/>
        </w:rPr>
        <w:t>processing</w:t>
      </w:r>
      <w:r w:rsidR="00D0618E" w:rsidRPr="008C7462">
        <w:rPr>
          <w:b/>
          <w:bCs/>
          <w:color w:val="000000" w:themeColor="text1"/>
        </w:rPr>
        <w:t xml:space="preserve"> and </w:t>
      </w:r>
      <w:r w:rsidR="00D0618E" w:rsidRPr="008C7462">
        <w:rPr>
          <w:b/>
          <w:bCs/>
          <w:i/>
          <w:iCs/>
          <w:color w:val="000000" w:themeColor="text1"/>
        </w:rPr>
        <w:t>punishing</w:t>
      </w:r>
      <w:r w:rsidR="00D0618E" w:rsidRPr="008C7462">
        <w:rPr>
          <w:b/>
          <w:bCs/>
          <w:color w:val="000000" w:themeColor="text1"/>
        </w:rPr>
        <w:t xml:space="preserve"> </w:t>
      </w:r>
      <w:r w:rsidR="00CD5DAA" w:rsidRPr="008C7462">
        <w:rPr>
          <w:b/>
          <w:bCs/>
          <w:color w:val="000000" w:themeColor="text1"/>
        </w:rPr>
        <w:t xml:space="preserve">each </w:t>
      </w:r>
      <w:r w:rsidR="007A73D8" w:rsidRPr="008C7462">
        <w:rPr>
          <w:b/>
          <w:bCs/>
          <w:color w:val="000000" w:themeColor="text1"/>
        </w:rPr>
        <w:t xml:space="preserve">additional </w:t>
      </w:r>
      <w:r w:rsidR="00D0618E" w:rsidRPr="008C7462">
        <w:rPr>
          <w:b/>
          <w:bCs/>
          <w:color w:val="000000" w:themeColor="text1"/>
        </w:rPr>
        <w:t>defendant</w:t>
      </w:r>
      <w:r w:rsidR="006B1C50" w:rsidRPr="008C7462">
        <w:rPr>
          <w:b/>
          <w:bCs/>
          <w:color w:val="000000" w:themeColor="text1"/>
        </w:rPr>
        <w:t xml:space="preserve"> </w:t>
      </w:r>
    </w:p>
    <w:p w14:paraId="18A52596" w14:textId="5BA9B5E9" w:rsidR="003753A3" w:rsidRDefault="003753A3" w:rsidP="003753A3">
      <w:pPr>
        <w:pStyle w:val="NoSpacing"/>
      </w:pPr>
      <w:r>
        <w:t>Table 2.</w:t>
      </w:r>
    </w:p>
    <w:p w14:paraId="1B9DF1A0" w14:textId="7809523F" w:rsidR="007B0E0E" w:rsidRDefault="007B0E0E" w:rsidP="007B0E0E">
      <w:pPr>
        <w:pStyle w:val="NoSpacing"/>
        <w:ind w:firstLine="720"/>
      </w:pPr>
      <w:r>
        <w:t xml:space="preserve">Additional defendant </w:t>
      </w:r>
      <w:r w:rsidR="00C37949">
        <w:t xml:space="preserve">PROCESS </w:t>
      </w:r>
      <w:r>
        <w:t>legal aid defence costs</w:t>
      </w:r>
      <w:r>
        <w:tab/>
      </w:r>
      <w:r>
        <w:tab/>
      </w:r>
      <w:r>
        <w:tab/>
      </w:r>
      <w:r>
        <w:tab/>
      </w:r>
      <w:r w:rsidR="00E725D5">
        <w:t>£</w:t>
      </w:r>
      <w:r>
        <w:t xml:space="preserve">149,260 </w:t>
      </w:r>
      <w:r>
        <w:tab/>
        <w:t xml:space="preserve">Additional defendant </w:t>
      </w:r>
      <w:r w:rsidR="00C37949">
        <w:t xml:space="preserve">PROCESS </w:t>
      </w:r>
      <w:r>
        <w:t>remand costs</w:t>
      </w:r>
      <w:r>
        <w:tab/>
      </w:r>
      <w:r>
        <w:tab/>
      </w:r>
      <w:r>
        <w:tab/>
      </w:r>
      <w:r>
        <w:tab/>
      </w:r>
      <w:r>
        <w:tab/>
      </w:r>
      <w:r w:rsidR="00E725D5">
        <w:t>£</w:t>
      </w:r>
      <w:r>
        <w:t>28,772</w:t>
      </w:r>
    </w:p>
    <w:p w14:paraId="777ED486" w14:textId="56C6FD46" w:rsidR="002C3119" w:rsidRPr="009F3B7E" w:rsidRDefault="007B0E0E" w:rsidP="002C3119">
      <w:pPr>
        <w:pStyle w:val="NoSpacing"/>
        <w:ind w:firstLine="720"/>
        <w:rPr>
          <w:b/>
          <w:bCs/>
        </w:rPr>
      </w:pPr>
      <w:r>
        <w:t xml:space="preserve">Additional defendant </w:t>
      </w:r>
      <w:r w:rsidR="00C37949">
        <w:t xml:space="preserve">PUNISH </w:t>
      </w:r>
      <w:r>
        <w:t>cost of prison sentence</w:t>
      </w:r>
      <w:r w:rsidR="002C3119">
        <w:tab/>
      </w:r>
      <w:r w:rsidR="00C731D3">
        <w:tab/>
      </w:r>
      <w:r w:rsidR="00C731D3">
        <w:tab/>
      </w:r>
      <w:r w:rsidR="00C731D3">
        <w:tab/>
      </w:r>
      <w:r w:rsidR="002C3119">
        <w:t>£1,031,600</w:t>
      </w:r>
    </w:p>
    <w:p w14:paraId="30050C9D" w14:textId="260AF821" w:rsidR="00EB1C1D" w:rsidRDefault="00EB1C1D" w:rsidP="00EB1C1D">
      <w:pPr>
        <w:pStyle w:val="NoSpacing"/>
        <w:ind w:firstLine="720"/>
      </w:pPr>
      <w:r>
        <w:t xml:space="preserve">Additional defendant </w:t>
      </w:r>
      <w:r w:rsidR="00C37949">
        <w:t xml:space="preserve">PUNISH </w:t>
      </w:r>
      <w:r>
        <w:t xml:space="preserve">Probation costs </w:t>
      </w:r>
      <w:r w:rsidR="00FD1A2E">
        <w:tab/>
      </w:r>
      <w:r w:rsidR="00FD1A2E">
        <w:tab/>
      </w:r>
      <w:r w:rsidR="00FD1A2E">
        <w:tab/>
      </w:r>
      <w:r w:rsidR="00FD1A2E">
        <w:tab/>
      </w:r>
      <w:r w:rsidR="00FD1A2E">
        <w:tab/>
      </w:r>
      <w:r>
        <w:t>£35,930</w:t>
      </w:r>
    </w:p>
    <w:p w14:paraId="154B4086" w14:textId="09F175F4" w:rsidR="007B0E0E" w:rsidRPr="00A757FE" w:rsidRDefault="00EB1C1D" w:rsidP="005B1640">
      <w:pPr>
        <w:pStyle w:val="NoSpacing"/>
        <w:ind w:firstLine="720"/>
        <w:rPr>
          <w:b/>
          <w:bCs/>
        </w:rPr>
      </w:pPr>
      <w:r>
        <w:t xml:space="preserve">Additional </w:t>
      </w:r>
      <w:r w:rsidR="00FD1A2E">
        <w:t xml:space="preserve">PUNISH for the </w:t>
      </w:r>
      <w:r>
        <w:t>NOMS</w:t>
      </w:r>
      <w:r w:rsidR="00FD1A2E">
        <w:t xml:space="preserve"> (now HMPPS)</w:t>
      </w:r>
      <w:r>
        <w:t xml:space="preserve"> costs</w:t>
      </w:r>
      <w:r>
        <w:tab/>
      </w:r>
      <w:r>
        <w:tab/>
      </w:r>
      <w:r>
        <w:tab/>
      </w:r>
      <w:r>
        <w:tab/>
        <w:t>£45,47</w:t>
      </w:r>
      <w:r w:rsidR="005B1640">
        <w:t>0</w:t>
      </w:r>
      <w:r w:rsidR="007B0E0E">
        <w:tab/>
      </w:r>
      <w:r w:rsidR="007B0E0E">
        <w:tab/>
      </w:r>
      <w:r w:rsidR="007B0E0E">
        <w:tab/>
      </w:r>
      <w:r w:rsidR="007B0E0E">
        <w:tab/>
      </w:r>
      <w:r w:rsidR="007B0E0E">
        <w:tab/>
      </w:r>
    </w:p>
    <w:p w14:paraId="02F70D68" w14:textId="002E9E2B" w:rsidR="007B0E0E" w:rsidRDefault="007B0E0E" w:rsidP="007B0E0E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1B05E2">
        <w:rPr>
          <w:i/>
          <w:iCs/>
        </w:rPr>
        <w:t xml:space="preserve">Estimated cost for processing </w:t>
      </w:r>
      <w:r>
        <w:rPr>
          <w:i/>
          <w:iCs/>
        </w:rPr>
        <w:t xml:space="preserve">and punishing </w:t>
      </w:r>
      <w:r w:rsidRPr="001B05E2">
        <w:rPr>
          <w:i/>
          <w:iCs/>
        </w:rPr>
        <w:t>each additional JE defendant:</w:t>
      </w:r>
      <w:r w:rsidRPr="009F3B7E">
        <w:rPr>
          <w:b/>
          <w:bCs/>
        </w:rPr>
        <w:tab/>
      </w:r>
      <w:r w:rsidRPr="009F3B7E">
        <w:rPr>
          <w:b/>
          <w:bCs/>
        </w:rPr>
        <w:tab/>
      </w:r>
      <w:r>
        <w:rPr>
          <w:b/>
          <w:bCs/>
        </w:rPr>
        <w:t>£</w:t>
      </w:r>
      <w:r w:rsidR="00A646C7">
        <w:rPr>
          <w:b/>
          <w:bCs/>
        </w:rPr>
        <w:t>1,291,031</w:t>
      </w:r>
    </w:p>
    <w:p w14:paraId="56E8EF43" w14:textId="77777777" w:rsidR="004474DB" w:rsidRDefault="004474DB" w:rsidP="004474DB">
      <w:pPr>
        <w:pStyle w:val="Heading2"/>
        <w:rPr>
          <w:b/>
          <w:bCs/>
          <w:color w:val="000000" w:themeColor="text1"/>
        </w:rPr>
      </w:pPr>
    </w:p>
    <w:p w14:paraId="3629EB0F" w14:textId="599F7F71" w:rsidR="00C6617C" w:rsidRPr="004474DB" w:rsidRDefault="00620CB5" w:rsidP="004474DB">
      <w:pPr>
        <w:pStyle w:val="Heading2"/>
        <w:rPr>
          <w:b/>
          <w:bCs/>
          <w:color w:val="000000" w:themeColor="text1"/>
        </w:rPr>
      </w:pPr>
      <w:r w:rsidRPr="004474DB">
        <w:rPr>
          <w:b/>
          <w:bCs/>
          <w:color w:val="000000" w:themeColor="text1"/>
        </w:rPr>
        <w:t xml:space="preserve">Conclusions </w:t>
      </w:r>
    </w:p>
    <w:p w14:paraId="2444AB48" w14:textId="7D3107FD" w:rsidR="007377F9" w:rsidRDefault="0065651B" w:rsidP="00596A68">
      <w:r>
        <w:t xml:space="preserve">Despite the increasing use of JE prosecutions and punishments, there </w:t>
      </w:r>
      <w:r w:rsidR="003156CA">
        <w:t xml:space="preserve">has been little analysis of the </w:t>
      </w:r>
      <w:r w:rsidR="00AE32FB">
        <w:t xml:space="preserve">significant </w:t>
      </w:r>
      <w:r w:rsidR="00742F1D">
        <w:t xml:space="preserve">criminal justice system </w:t>
      </w:r>
      <w:r w:rsidR="00AE32FB">
        <w:t xml:space="preserve">costs and </w:t>
      </w:r>
      <w:r w:rsidR="00742F1D">
        <w:t xml:space="preserve">expenditure </w:t>
      </w:r>
      <w:r w:rsidR="00FB1523">
        <w:t xml:space="preserve">to </w:t>
      </w:r>
      <w:r w:rsidR="001803E6">
        <w:t>service th</w:t>
      </w:r>
      <w:r w:rsidR="00FB1523">
        <w:t>is</w:t>
      </w:r>
      <w:r w:rsidR="001803E6">
        <w:t xml:space="preserve"> continued use across England and Wales.  </w:t>
      </w:r>
      <w:r w:rsidR="00FB1523">
        <w:t>D</w:t>
      </w:r>
      <w:r w:rsidR="00C87A5A">
        <w:t xml:space="preserve">rawing upon the </w:t>
      </w:r>
      <w:r w:rsidR="001803E6">
        <w:t xml:space="preserve">findings </w:t>
      </w:r>
      <w:r w:rsidR="00EF4D98">
        <w:t xml:space="preserve">from </w:t>
      </w:r>
      <w:r w:rsidR="00FB1523">
        <w:t xml:space="preserve">a range of </w:t>
      </w:r>
      <w:r w:rsidR="006D3E64">
        <w:t xml:space="preserve">government sponsored </w:t>
      </w:r>
      <w:r w:rsidR="005C3D06">
        <w:t>report</w:t>
      </w:r>
      <w:r w:rsidR="006D3E64">
        <w:t>s</w:t>
      </w:r>
      <w:r w:rsidR="00FB1523">
        <w:t xml:space="preserve"> on the scale of JE and the unit costs of criminal justice processes and punishments</w:t>
      </w:r>
      <w:r w:rsidR="00104BC3">
        <w:t>,</w:t>
      </w:r>
      <w:r w:rsidR="00822E89">
        <w:t xml:space="preserve"> each year it costs over £242 million pounds to prosecute </w:t>
      </w:r>
      <w:r w:rsidR="00FE491B">
        <w:t xml:space="preserve">JE defendants. Once convicted the future punishment costs are vast, </w:t>
      </w:r>
      <w:r w:rsidR="001D7257">
        <w:t>with</w:t>
      </w:r>
      <w:r w:rsidR="00C84ED1">
        <w:t xml:space="preserve"> estimates suggesting </w:t>
      </w:r>
      <w:r w:rsidR="00FB22B5">
        <w:t>over 1000 defendants convicted each year</w:t>
      </w:r>
      <w:r w:rsidR="006864BE">
        <w:t>,</w:t>
      </w:r>
      <w:r w:rsidR="00FB22B5">
        <w:t xml:space="preserve"> </w:t>
      </w:r>
      <w:r w:rsidR="00382B85">
        <w:t>over £1.2 billion pounds will be spent post sentence</w:t>
      </w:r>
      <w:r w:rsidR="00990718">
        <w:t xml:space="preserve"> on prison and probation</w:t>
      </w:r>
      <w:r w:rsidR="00990EE4">
        <w:t xml:space="preserve"> responses</w:t>
      </w:r>
      <w:r w:rsidR="003D4C02">
        <w:t xml:space="preserve"> to these defendants alone</w:t>
      </w:r>
      <w:r w:rsidR="00382B85">
        <w:t xml:space="preserve">. </w:t>
      </w:r>
    </w:p>
    <w:p w14:paraId="0F36BA23" w14:textId="5A29B1E1" w:rsidR="002854E4" w:rsidRDefault="00E310FE" w:rsidP="00596A68">
      <w:r>
        <w:t xml:space="preserve">The evidence presented </w:t>
      </w:r>
      <w:r w:rsidR="00A81CAA">
        <w:t>with</w:t>
      </w:r>
      <w:r>
        <w:t xml:space="preserve">in this report is </w:t>
      </w:r>
      <w:r w:rsidR="00FB1523">
        <w:t>even more</w:t>
      </w:r>
      <w:r>
        <w:t xml:space="preserve"> concerning </w:t>
      </w:r>
      <w:r w:rsidR="00B84782">
        <w:t>whe</w:t>
      </w:r>
      <w:r w:rsidR="00746748">
        <w:t>n</w:t>
      </w:r>
      <w:r w:rsidR="00B84782">
        <w:t xml:space="preserve"> we consider the </w:t>
      </w:r>
      <w:r w:rsidR="00F525D8">
        <w:t xml:space="preserve">unequal use of </w:t>
      </w:r>
      <w:r w:rsidR="000B6A11">
        <w:t>J</w:t>
      </w:r>
      <w:r w:rsidR="00F525D8">
        <w:t xml:space="preserve">oint </w:t>
      </w:r>
      <w:r w:rsidR="000B6A11">
        <w:t>E</w:t>
      </w:r>
      <w:r w:rsidR="00F525D8">
        <w:t xml:space="preserve">nterprise prosecutions against children and young people, </w:t>
      </w:r>
      <w:r w:rsidR="00FB1523">
        <w:t xml:space="preserve">women </w:t>
      </w:r>
      <w:r w:rsidR="00F525D8">
        <w:t xml:space="preserve">and </w:t>
      </w:r>
      <w:r w:rsidR="00AE7820">
        <w:t>racialised communities</w:t>
      </w:r>
      <w:r w:rsidR="00F525D8">
        <w:t xml:space="preserve">. </w:t>
      </w:r>
      <w:r w:rsidR="002854E4">
        <w:t xml:space="preserve">CPS </w:t>
      </w:r>
      <w:r w:rsidR="00D07654">
        <w:t xml:space="preserve">data </w:t>
      </w:r>
      <w:r w:rsidR="002854E4">
        <w:t xml:space="preserve">estimates that </w:t>
      </w:r>
      <w:r w:rsidR="00C678D5">
        <w:t>1</w:t>
      </w:r>
      <w:r w:rsidR="00881D9B">
        <w:t>4</w:t>
      </w:r>
      <w:r w:rsidR="002854E4">
        <w:t>% of defendants prosecuted using JE are children</w:t>
      </w:r>
      <w:r w:rsidR="00814271">
        <w:t xml:space="preserve">. </w:t>
      </w:r>
      <w:r w:rsidR="00881D9B">
        <w:t>B</w:t>
      </w:r>
      <w:r w:rsidR="00F13B74">
        <w:t xml:space="preserve">eyond the </w:t>
      </w:r>
      <w:r w:rsidR="00C678D5">
        <w:t xml:space="preserve">serious </w:t>
      </w:r>
      <w:r w:rsidR="00F13B74">
        <w:t>moral</w:t>
      </w:r>
      <w:r w:rsidR="0023353B">
        <w:t xml:space="preserve"> </w:t>
      </w:r>
      <w:r w:rsidR="00EF2A27">
        <w:t xml:space="preserve">questions this raises, </w:t>
      </w:r>
      <w:r w:rsidR="00AA6966">
        <w:t xml:space="preserve">each year it will </w:t>
      </w:r>
      <w:r w:rsidR="00EF2A27">
        <w:t>cost</w:t>
      </w:r>
      <w:r w:rsidR="00AA6966">
        <w:t xml:space="preserve"> £14.5 million </w:t>
      </w:r>
      <w:r w:rsidR="00B91980">
        <w:t xml:space="preserve">to imprison </w:t>
      </w:r>
      <w:r w:rsidR="00C678D5">
        <w:t xml:space="preserve">these </w:t>
      </w:r>
      <w:r w:rsidR="00B91980">
        <w:t xml:space="preserve">ninety-five </w:t>
      </w:r>
      <w:r w:rsidR="00F817EF">
        <w:t>children</w:t>
      </w:r>
      <w:r w:rsidR="00EF2A27">
        <w:t xml:space="preserve">. </w:t>
      </w:r>
      <w:r w:rsidR="000B6A11">
        <w:t>F</w:t>
      </w:r>
      <w:r w:rsidR="00EF2A27">
        <w:t>or women</w:t>
      </w:r>
      <w:r w:rsidR="000B6A11">
        <w:t xml:space="preserve"> who are convicted under JE</w:t>
      </w:r>
      <w:r w:rsidR="00EF2A27">
        <w:t xml:space="preserve">, the economic costs </w:t>
      </w:r>
      <w:r w:rsidR="007933E8">
        <w:t xml:space="preserve">of punishment </w:t>
      </w:r>
      <w:r w:rsidR="00610922">
        <w:t>are high</w:t>
      </w:r>
      <w:r w:rsidR="00021478">
        <w:t>,</w:t>
      </w:r>
      <w:r w:rsidR="007933E8">
        <w:t xml:space="preserve"> as are the costs </w:t>
      </w:r>
      <w:r w:rsidR="00165F97">
        <w:t xml:space="preserve">for their children </w:t>
      </w:r>
      <w:r w:rsidR="007933E8">
        <w:t xml:space="preserve">and families. </w:t>
      </w:r>
    </w:p>
    <w:p w14:paraId="75281F10" w14:textId="29541538" w:rsidR="00E310FE" w:rsidRDefault="003D421F" w:rsidP="00596A68">
      <w:r>
        <w:t xml:space="preserve">For minority ethnic people, the costs of </w:t>
      </w:r>
      <w:r w:rsidR="00194FFC">
        <w:t xml:space="preserve">disparity and unequal treatment </w:t>
      </w:r>
      <w:r w:rsidR="001B3CC1">
        <w:t xml:space="preserve">across the CJS </w:t>
      </w:r>
      <w:r w:rsidR="00182F43">
        <w:t xml:space="preserve">of England and Wales </w:t>
      </w:r>
      <w:r w:rsidR="007933E8">
        <w:t xml:space="preserve">have been </w:t>
      </w:r>
      <w:r w:rsidR="005F16AD">
        <w:t xml:space="preserve">estimated </w:t>
      </w:r>
      <w:r w:rsidR="006A3B67">
        <w:t xml:space="preserve">to be </w:t>
      </w:r>
      <w:r w:rsidR="005F16AD">
        <w:t>£</w:t>
      </w:r>
      <w:r w:rsidR="000D63BB">
        <w:t>309 million a year.</w:t>
      </w:r>
      <w:r w:rsidR="000D63BB">
        <w:rPr>
          <w:rStyle w:val="FootnoteReference"/>
        </w:rPr>
        <w:footnoteReference w:id="15"/>
      </w:r>
      <w:r w:rsidR="00F525D8">
        <w:t xml:space="preserve"> </w:t>
      </w:r>
      <w:r w:rsidR="007933E8">
        <w:t xml:space="preserve">Given the evidence to demonstrate the disproportionate use of JE prosecution and punishment </w:t>
      </w:r>
      <w:r w:rsidR="003655A0">
        <w:t xml:space="preserve">with </w:t>
      </w:r>
      <w:r w:rsidR="00DC2A20">
        <w:t xml:space="preserve">Black and other racially minoritized individuals, </w:t>
      </w:r>
      <w:r w:rsidR="007B7B03">
        <w:t xml:space="preserve">we </w:t>
      </w:r>
      <w:r w:rsidR="003655A0">
        <w:t xml:space="preserve">begin to </w:t>
      </w:r>
      <w:r w:rsidR="009B764D">
        <w:t xml:space="preserve">indicate </w:t>
      </w:r>
      <w:r w:rsidR="007B7B03">
        <w:t xml:space="preserve">how </w:t>
      </w:r>
      <w:r w:rsidR="009B764D">
        <w:t xml:space="preserve">some of </w:t>
      </w:r>
      <w:r w:rsidR="007B7B03">
        <w:t xml:space="preserve">these costs of </w:t>
      </w:r>
      <w:r w:rsidR="003655A0">
        <w:t xml:space="preserve">racial </w:t>
      </w:r>
      <w:r w:rsidR="007B7B03">
        <w:t>disparity are</w:t>
      </w:r>
      <w:r w:rsidR="00247F1A">
        <w:t xml:space="preserve"> ge</w:t>
      </w:r>
      <w:r w:rsidR="003655A0">
        <w:t>nerated.</w:t>
      </w:r>
    </w:p>
    <w:p w14:paraId="6D18E91F" w14:textId="08863480" w:rsidR="009D2E31" w:rsidRDefault="009D2E31" w:rsidP="00596A68">
      <w:r>
        <w:rPr>
          <w:b/>
          <w:bCs/>
          <w:noProof/>
        </w:rPr>
        <mc:AlternateContent>
          <mc:Choice Requires="wps">
            <w:drawing>
              <wp:inline distT="0" distB="0" distL="0" distR="0" wp14:anchorId="1F98D2A4" wp14:editId="39234807">
                <wp:extent cx="5988050" cy="786984"/>
                <wp:effectExtent l="0" t="0" r="6350" b="63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786984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E988D" w14:textId="6339E03A" w:rsidR="009D2E31" w:rsidRPr="00C31C3F" w:rsidRDefault="009D2E31" w:rsidP="009D2E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31C3F">
                              <w:rPr>
                                <w:color w:val="000000" w:themeColor="text1"/>
                              </w:rPr>
                              <w:t xml:space="preserve">A decade </w:t>
                            </w:r>
                            <w:proofErr w:type="gramStart"/>
                            <w:r w:rsidRPr="00C31C3F">
                              <w:rPr>
                                <w:color w:val="000000" w:themeColor="text1"/>
                              </w:rPr>
                              <w:t>ago</w:t>
                            </w:r>
                            <w:proofErr w:type="gramEnd"/>
                            <w:r w:rsidRPr="00C31C3F">
                              <w:rPr>
                                <w:color w:val="000000" w:themeColor="text1"/>
                              </w:rPr>
                              <w:t xml:space="preserve"> now, in submission to the </w:t>
                            </w:r>
                            <w:r w:rsidR="004457EB">
                              <w:rPr>
                                <w:color w:val="000000" w:themeColor="text1"/>
                              </w:rPr>
                              <w:t xml:space="preserve">Justice </w:t>
                            </w:r>
                            <w:r w:rsidRPr="00C31C3F">
                              <w:rPr>
                                <w:color w:val="000000" w:themeColor="text1"/>
                              </w:rPr>
                              <w:t>Select Committee</w:t>
                            </w:r>
                            <w:r w:rsidR="004457EB" w:rsidRPr="004457EB">
                              <w:rPr>
                                <w:color w:val="000000" w:themeColor="text1"/>
                                <w:vertAlign w:val="superscript"/>
                              </w:rPr>
                              <w:t>16</w:t>
                            </w:r>
                            <w:r w:rsidRPr="00C31C3F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C31C3F">
                              <w:rPr>
                                <w:color w:val="000000" w:themeColor="text1"/>
                              </w:rPr>
                              <w:t>JENGbA</w:t>
                            </w:r>
                            <w:proofErr w:type="spellEnd"/>
                            <w:r w:rsidRPr="00C31C3F">
                              <w:rPr>
                                <w:color w:val="000000" w:themeColor="text1"/>
                              </w:rPr>
                              <w:t xml:space="preserve"> wrote:</w:t>
                            </w:r>
                          </w:p>
                          <w:p w14:paraId="355F21FB" w14:textId="77777777" w:rsidR="009D2E31" w:rsidRPr="00C31C3F" w:rsidRDefault="009D2E31" w:rsidP="009D2E31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31C3F">
                              <w:rPr>
                                <w:i/>
                                <w:iCs/>
                                <w:color w:val="000000" w:themeColor="text1"/>
                              </w:rPr>
                              <w:t>‘It is a big ask to expect an innocent person to serve a 25-year minimum life sentence for another person’s crime and an abomination to expect the decent honest taxpayers of this country to pay for it.’</w:t>
                            </w:r>
                          </w:p>
                          <w:p w14:paraId="39A3D7CC" w14:textId="448AE8B8" w:rsidR="009D2E31" w:rsidRPr="009D2E31" w:rsidRDefault="009D2E31" w:rsidP="009D2E3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D9A6E4C" w14:textId="77777777" w:rsidR="009D2E31" w:rsidRDefault="009D2E31" w:rsidP="009D2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98D2A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width:471.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" fillcolor="#f90" stroked="f" strokeweight=".5pt">
                <v:textbox>
                  <w:txbxContent>
                    <w:p w14:paraId="2DEE988D" w14:textId="6339E03A" w:rsidR="009D2E31" w:rsidRPr="00C31C3F" w:rsidRDefault="009D2E31" w:rsidP="009D2E31">
                      <w:pPr>
                        <w:rPr>
                          <w:color w:val="000000" w:themeColor="text1"/>
                        </w:rPr>
                      </w:pPr>
                      <w:r w:rsidRPr="00C31C3F">
                        <w:rPr>
                          <w:color w:val="000000" w:themeColor="text1"/>
                        </w:rPr>
                        <w:t xml:space="preserve">A decade </w:t>
                      </w:r>
                      <w:proofErr w:type="gramStart"/>
                      <w:r w:rsidRPr="00C31C3F">
                        <w:rPr>
                          <w:color w:val="000000" w:themeColor="text1"/>
                        </w:rPr>
                        <w:t>ago</w:t>
                      </w:r>
                      <w:proofErr w:type="gramEnd"/>
                      <w:r w:rsidRPr="00C31C3F">
                        <w:rPr>
                          <w:color w:val="000000" w:themeColor="text1"/>
                        </w:rPr>
                        <w:t xml:space="preserve"> now, in submission to the </w:t>
                      </w:r>
                      <w:r w:rsidR="004457EB">
                        <w:rPr>
                          <w:color w:val="000000" w:themeColor="text1"/>
                        </w:rPr>
                        <w:t xml:space="preserve">Justice </w:t>
                      </w:r>
                      <w:r w:rsidRPr="00C31C3F">
                        <w:rPr>
                          <w:color w:val="000000" w:themeColor="text1"/>
                        </w:rPr>
                        <w:t>Select Committee</w:t>
                      </w:r>
                      <w:r w:rsidR="004457EB" w:rsidRPr="004457EB">
                        <w:rPr>
                          <w:color w:val="000000" w:themeColor="text1"/>
                          <w:vertAlign w:val="superscript"/>
                        </w:rPr>
                        <w:t>16</w:t>
                      </w:r>
                      <w:r w:rsidRPr="00C31C3F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C31C3F">
                        <w:rPr>
                          <w:color w:val="000000" w:themeColor="text1"/>
                        </w:rPr>
                        <w:t>JENGbA</w:t>
                      </w:r>
                      <w:proofErr w:type="spellEnd"/>
                      <w:r w:rsidRPr="00C31C3F">
                        <w:rPr>
                          <w:color w:val="000000" w:themeColor="text1"/>
                        </w:rPr>
                        <w:t xml:space="preserve"> wrote:</w:t>
                      </w:r>
                    </w:p>
                    <w:p w14:paraId="355F21FB" w14:textId="77777777" w:rsidR="009D2E31" w:rsidRPr="00C31C3F" w:rsidRDefault="009D2E31" w:rsidP="009D2E31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C31C3F">
                        <w:rPr>
                          <w:i/>
                          <w:iCs/>
                          <w:color w:val="000000" w:themeColor="text1"/>
                        </w:rPr>
                        <w:t>‘It is a big ask to expect an innocent person to serve a 25-year minimum life sentence for another person’s crime and an abomination to expect the decent honest taxpayers of this country to pay for it.’</w:t>
                      </w:r>
                    </w:p>
                    <w:p w14:paraId="39A3D7CC" w14:textId="448AE8B8" w:rsidR="009D2E31" w:rsidRPr="009D2E31" w:rsidRDefault="009D2E31" w:rsidP="009D2E31">
                      <w:pPr>
                        <w:rPr>
                          <w:color w:val="FFFFFF" w:themeColor="background1"/>
                        </w:rPr>
                      </w:pPr>
                    </w:p>
                    <w:p w14:paraId="5D9A6E4C" w14:textId="77777777" w:rsidR="009D2E31" w:rsidRDefault="009D2E31" w:rsidP="009D2E31"/>
                  </w:txbxContent>
                </v:textbox>
                <w10:anchorlock/>
              </v:shape>
            </w:pict>
          </mc:Fallback>
        </mc:AlternateContent>
      </w:r>
    </w:p>
    <w:p w14:paraId="522D748D" w14:textId="37C9C03D" w:rsidR="000C4DBF" w:rsidRDefault="000C4DBF" w:rsidP="000C4DBF">
      <w:r>
        <w:t xml:space="preserve">The promise of </w:t>
      </w:r>
      <w:r w:rsidR="009B764D">
        <w:t>J</w:t>
      </w:r>
      <w:r>
        <w:t xml:space="preserve">oint </w:t>
      </w:r>
      <w:r w:rsidR="009B764D">
        <w:t>E</w:t>
      </w:r>
      <w:r>
        <w:t>nterprise prosecutions as a legal deterrent, and a political solution to address the problem of violent crime has driven an increase in the use of</w:t>
      </w:r>
      <w:r w:rsidR="009B764D">
        <w:t xml:space="preserve"> JE</w:t>
      </w:r>
      <w:r>
        <w:t xml:space="preserve">.  Perversely, beyond the exponentially increasing costs of prosecuting and punishing </w:t>
      </w:r>
      <w:r w:rsidR="009B764D">
        <w:t>J</w:t>
      </w:r>
      <w:r>
        <w:t xml:space="preserve">oint </w:t>
      </w:r>
      <w:r w:rsidR="009B764D">
        <w:t>E</w:t>
      </w:r>
      <w:r>
        <w:t xml:space="preserve">nterprise cases, there is little evidence to suggest that </w:t>
      </w:r>
      <w:r w:rsidR="00BC3794">
        <w:t xml:space="preserve">JE </w:t>
      </w:r>
      <w:r w:rsidR="00AD28B6">
        <w:t xml:space="preserve">prosecutions </w:t>
      </w:r>
      <w:r w:rsidR="008D42DA">
        <w:t xml:space="preserve">deter or </w:t>
      </w:r>
      <w:r>
        <w:t xml:space="preserve">reduces </w:t>
      </w:r>
      <w:r w:rsidR="008D42DA">
        <w:t>the committal of serio</w:t>
      </w:r>
      <w:r w:rsidR="008B2E4B">
        <w:t xml:space="preserve">us </w:t>
      </w:r>
      <w:r>
        <w:t xml:space="preserve">violent </w:t>
      </w:r>
      <w:r w:rsidR="008D42DA">
        <w:t>acts</w:t>
      </w:r>
      <w:r>
        <w:t xml:space="preserve">.  </w:t>
      </w:r>
    </w:p>
    <w:p w14:paraId="219786B9" w14:textId="77777777" w:rsidR="004474DB" w:rsidRDefault="0075329E" w:rsidP="0094189D">
      <w:r>
        <w:t xml:space="preserve">Beyond the </w:t>
      </w:r>
      <w:r w:rsidR="00FB1523">
        <w:t xml:space="preserve">huge </w:t>
      </w:r>
      <w:r>
        <w:t>personal and emotional costs</w:t>
      </w:r>
      <w:r w:rsidR="00FB1523">
        <w:t xml:space="preserve"> of such prosecutions and convictions</w:t>
      </w:r>
      <w:r w:rsidR="00B559D3">
        <w:t xml:space="preserve">, </w:t>
      </w:r>
      <w:r w:rsidR="00605300">
        <w:t xml:space="preserve">this paper </w:t>
      </w:r>
      <w:r w:rsidR="00FB1523">
        <w:t xml:space="preserve">demonstrates </w:t>
      </w:r>
      <w:r w:rsidR="00B559D3">
        <w:t xml:space="preserve">the </w:t>
      </w:r>
      <w:r w:rsidR="00BC3794">
        <w:t xml:space="preserve">escalating </w:t>
      </w:r>
      <w:r w:rsidR="00B559D3">
        <w:t xml:space="preserve">financial costs </w:t>
      </w:r>
      <w:r w:rsidR="00236717">
        <w:t xml:space="preserve">driven by the </w:t>
      </w:r>
      <w:r w:rsidR="00D92928">
        <w:t xml:space="preserve">increasing </w:t>
      </w:r>
      <w:r w:rsidR="00B559D3">
        <w:t xml:space="preserve">use of </w:t>
      </w:r>
      <w:r w:rsidR="00BC3794">
        <w:t>J</w:t>
      </w:r>
      <w:r w:rsidR="00236717">
        <w:t xml:space="preserve">oint </w:t>
      </w:r>
      <w:r w:rsidR="00BC3794">
        <w:t>E</w:t>
      </w:r>
      <w:r w:rsidR="00236717">
        <w:t xml:space="preserve">nterprise.  </w:t>
      </w:r>
    </w:p>
    <w:p w14:paraId="57285E33" w14:textId="198F17FA" w:rsidR="0094189D" w:rsidRDefault="00D92928" w:rsidP="0094189D">
      <w:r>
        <w:t>A</w:t>
      </w:r>
      <w:r w:rsidR="007450BA">
        <w:t xml:space="preserve">longside the </w:t>
      </w:r>
      <w:r w:rsidR="0091081F">
        <w:t>moral</w:t>
      </w:r>
      <w:r w:rsidR="0050303E">
        <w:t xml:space="preserve">, </w:t>
      </w:r>
      <w:proofErr w:type="gramStart"/>
      <w:r w:rsidR="0091081F">
        <w:t>ethical</w:t>
      </w:r>
      <w:proofErr w:type="gramEnd"/>
      <w:r w:rsidR="0091081F">
        <w:t xml:space="preserve"> </w:t>
      </w:r>
      <w:r w:rsidR="0050303E">
        <w:t xml:space="preserve">and social </w:t>
      </w:r>
      <w:r w:rsidR="0091081F">
        <w:t>costs</w:t>
      </w:r>
      <w:r w:rsidR="00F642C9">
        <w:t xml:space="preserve"> </w:t>
      </w:r>
      <w:r w:rsidR="006E123F">
        <w:t>of the law ‘taking a wrong turn’</w:t>
      </w:r>
      <w:r w:rsidR="00005E87">
        <w:t>,</w:t>
      </w:r>
      <w:r w:rsidR="00B14F86">
        <w:t xml:space="preserve"> </w:t>
      </w:r>
      <w:r w:rsidR="00F642C9">
        <w:t>the</w:t>
      </w:r>
      <w:r w:rsidR="00BC3794">
        <w:t xml:space="preserve"> ineffective</w:t>
      </w:r>
      <w:r>
        <w:t xml:space="preserve"> </w:t>
      </w:r>
      <w:r w:rsidR="00746748">
        <w:t xml:space="preserve">criminal justice </w:t>
      </w:r>
      <w:r w:rsidR="00B14F86">
        <w:t>practices th</w:t>
      </w:r>
      <w:r w:rsidR="0042118E">
        <w:t>at</w:t>
      </w:r>
      <w:r w:rsidR="00746748">
        <w:t xml:space="preserve"> prosecute additional defendants</w:t>
      </w:r>
      <w:r w:rsidR="00BC3794">
        <w:t>,</w:t>
      </w:r>
      <w:r w:rsidR="00746748">
        <w:t xml:space="preserve"> often representing </w:t>
      </w:r>
      <w:r w:rsidR="006F1D18">
        <w:t xml:space="preserve">more and more </w:t>
      </w:r>
      <w:r w:rsidR="00746748">
        <w:t xml:space="preserve">young </w:t>
      </w:r>
      <w:r w:rsidR="00005E87">
        <w:t xml:space="preserve">people </w:t>
      </w:r>
      <w:r w:rsidR="0050088A">
        <w:t xml:space="preserve">being drawn into </w:t>
      </w:r>
      <w:r w:rsidR="004D2C83">
        <w:t xml:space="preserve">the </w:t>
      </w:r>
      <w:r w:rsidR="0030242D">
        <w:t>criminal justice</w:t>
      </w:r>
      <w:r w:rsidR="00005E87">
        <w:t xml:space="preserve"> </w:t>
      </w:r>
      <w:r w:rsidR="004D2C83">
        <w:t>net</w:t>
      </w:r>
      <w:r w:rsidR="0030242D">
        <w:t>,</w:t>
      </w:r>
      <w:r w:rsidR="004D2C83">
        <w:t xml:space="preserve"> </w:t>
      </w:r>
      <w:r w:rsidR="00382D6B">
        <w:t xml:space="preserve">implies </w:t>
      </w:r>
      <w:r w:rsidR="0030242D">
        <w:t xml:space="preserve">the </w:t>
      </w:r>
      <w:r w:rsidR="004D2C83">
        <w:t xml:space="preserve">significant </w:t>
      </w:r>
      <w:r w:rsidR="007510C0">
        <w:t xml:space="preserve">financial costs of </w:t>
      </w:r>
      <w:r w:rsidR="007B1E72">
        <w:t>injustice</w:t>
      </w:r>
      <w:r w:rsidR="007510C0">
        <w:t xml:space="preserve">. </w:t>
      </w:r>
    </w:p>
    <w:p w14:paraId="6702F6CA" w14:textId="7D3F0A08" w:rsidR="0068738F" w:rsidRPr="0050088A" w:rsidRDefault="00F6771A" w:rsidP="0094189D">
      <w:r>
        <w:t xml:space="preserve">At the heart </w:t>
      </w:r>
      <w:r w:rsidR="00A6137E">
        <w:t xml:space="preserve">of </w:t>
      </w:r>
      <w:r w:rsidR="00B734FE">
        <w:t xml:space="preserve">establishing </w:t>
      </w:r>
      <w:r w:rsidR="003C3469">
        <w:t>more effectiv</w:t>
      </w:r>
      <w:r w:rsidR="00B734FE">
        <w:t>e</w:t>
      </w:r>
      <w:r w:rsidR="003C3469">
        <w:t xml:space="preserve"> and just </w:t>
      </w:r>
      <w:r w:rsidR="008D5DBF">
        <w:t>respon</w:t>
      </w:r>
      <w:r w:rsidR="00B734FE">
        <w:t>ses</w:t>
      </w:r>
      <w:r w:rsidR="008D5DBF">
        <w:t xml:space="preserve"> to violent crime</w:t>
      </w:r>
      <w:r w:rsidR="00C17812">
        <w:t>,</w:t>
      </w:r>
      <w:r w:rsidR="00A6137E">
        <w:t xml:space="preserve"> policy makers</w:t>
      </w:r>
      <w:r w:rsidR="008D5DBF">
        <w:t xml:space="preserve"> </w:t>
      </w:r>
      <w:r w:rsidR="004E74D0">
        <w:t xml:space="preserve">must </w:t>
      </w:r>
      <w:r w:rsidR="000F1439">
        <w:t>include</w:t>
      </w:r>
      <w:r w:rsidR="004E74D0">
        <w:t xml:space="preserve"> an</w:t>
      </w:r>
      <w:r w:rsidR="000F1439">
        <w:t xml:space="preserve"> </w:t>
      </w:r>
      <w:r w:rsidR="004E74D0">
        <w:t xml:space="preserve">understanding </w:t>
      </w:r>
      <w:r w:rsidR="00A6137E">
        <w:t xml:space="preserve">of the need for change </w:t>
      </w:r>
      <w:r w:rsidR="004E74D0">
        <w:t xml:space="preserve">when </w:t>
      </w:r>
      <w:r w:rsidR="000F1439">
        <w:t xml:space="preserve">current </w:t>
      </w:r>
      <w:r w:rsidR="00B734FE">
        <w:t xml:space="preserve">strategies </w:t>
      </w:r>
      <w:r w:rsidR="000F1439">
        <w:t xml:space="preserve">are </w:t>
      </w:r>
      <w:r w:rsidR="00B734FE">
        <w:t xml:space="preserve">costly </w:t>
      </w:r>
      <w:r w:rsidR="000F1439">
        <w:t>fail</w:t>
      </w:r>
      <w:r w:rsidR="00B734FE">
        <w:t>ures</w:t>
      </w:r>
      <w:r w:rsidR="000F1439">
        <w:t xml:space="preserve">. In this briefing document we have sought to outline </w:t>
      </w:r>
      <w:r w:rsidR="0033696B">
        <w:t>the economic costs of using JE</w:t>
      </w:r>
      <w:r w:rsidR="00E729BC">
        <w:t xml:space="preserve"> to respond to incidents of homicide</w:t>
      </w:r>
      <w:r w:rsidR="00F65E7A">
        <w:t xml:space="preserve">, to calculate the </w:t>
      </w:r>
      <w:r w:rsidR="0033696B">
        <w:t xml:space="preserve">level of resource currently being used to process and punish </w:t>
      </w:r>
      <w:r w:rsidR="00F65E7A">
        <w:t xml:space="preserve">defendants. Many of </w:t>
      </w:r>
      <w:r w:rsidR="00657421">
        <w:t xml:space="preserve">these individuals </w:t>
      </w:r>
      <w:r w:rsidR="00C17812">
        <w:t>h</w:t>
      </w:r>
      <w:r w:rsidR="00F65E7A">
        <w:t xml:space="preserve">ave </w:t>
      </w:r>
      <w:r w:rsidR="007316AF">
        <w:t>not directly engaged in violence, may not have been at the scene</w:t>
      </w:r>
      <w:r w:rsidR="00F20B0F">
        <w:t xml:space="preserve"> or made a significant contribution to the </w:t>
      </w:r>
      <w:r w:rsidR="00161613">
        <w:t xml:space="preserve">offence. </w:t>
      </w:r>
    </w:p>
    <w:sectPr w:rsidR="0068738F" w:rsidRPr="0050088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6F9F" w14:textId="77777777" w:rsidR="00BC7192" w:rsidRDefault="00BC7192" w:rsidP="00F643C1">
      <w:pPr>
        <w:spacing w:after="0" w:line="240" w:lineRule="auto"/>
      </w:pPr>
      <w:r>
        <w:separator/>
      </w:r>
    </w:p>
  </w:endnote>
  <w:endnote w:type="continuationSeparator" w:id="0">
    <w:p w14:paraId="59E7ADBF" w14:textId="77777777" w:rsidR="00BC7192" w:rsidRDefault="00BC7192" w:rsidP="00F6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3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03ABE" w14:textId="5EC56EA9" w:rsidR="00237FC0" w:rsidRDefault="00237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63F9F" w14:textId="77777777" w:rsidR="00237FC0" w:rsidRDefault="0023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7884" w14:textId="77777777" w:rsidR="00BC7192" w:rsidRDefault="00BC7192" w:rsidP="00F643C1">
      <w:pPr>
        <w:spacing w:after="0" w:line="240" w:lineRule="auto"/>
      </w:pPr>
      <w:r>
        <w:separator/>
      </w:r>
    </w:p>
  </w:footnote>
  <w:footnote w:type="continuationSeparator" w:id="0">
    <w:p w14:paraId="05E09E65" w14:textId="77777777" w:rsidR="00BC7192" w:rsidRDefault="00BC7192" w:rsidP="00F643C1">
      <w:pPr>
        <w:spacing w:after="0" w:line="240" w:lineRule="auto"/>
      </w:pPr>
      <w:r>
        <w:continuationSeparator/>
      </w:r>
    </w:p>
  </w:footnote>
  <w:footnote w:id="1">
    <w:p w14:paraId="5ECC325C" w14:textId="1C343D00" w:rsidR="001E5B79" w:rsidRPr="009A7E2C" w:rsidRDefault="001E5B79">
      <w:pPr>
        <w:pStyle w:val="FootnoteText"/>
        <w:rPr>
          <w:sz w:val="12"/>
          <w:szCs w:val="12"/>
        </w:rPr>
      </w:pPr>
      <w:r w:rsidRPr="009A7E2C">
        <w:rPr>
          <w:rStyle w:val="FootnoteReference"/>
          <w:sz w:val="12"/>
          <w:szCs w:val="12"/>
        </w:rPr>
        <w:footnoteRef/>
      </w:r>
      <w:r w:rsidRPr="009A7E2C">
        <w:rPr>
          <w:sz w:val="12"/>
          <w:szCs w:val="12"/>
        </w:rPr>
        <w:t xml:space="preserve"> We </w:t>
      </w:r>
      <w:r w:rsidR="005B1903" w:rsidRPr="009A7E2C">
        <w:rPr>
          <w:sz w:val="12"/>
          <w:szCs w:val="12"/>
        </w:rPr>
        <w:t xml:space="preserve">would like to thank the following </w:t>
      </w:r>
      <w:r w:rsidR="00684F2F" w:rsidRPr="009A7E2C">
        <w:rPr>
          <w:sz w:val="12"/>
          <w:szCs w:val="12"/>
        </w:rPr>
        <w:t xml:space="preserve">individuals </w:t>
      </w:r>
      <w:r w:rsidR="005B1903" w:rsidRPr="009A7E2C">
        <w:rPr>
          <w:sz w:val="12"/>
          <w:szCs w:val="12"/>
        </w:rPr>
        <w:t>for</w:t>
      </w:r>
      <w:r w:rsidR="000708E8">
        <w:rPr>
          <w:sz w:val="12"/>
          <w:szCs w:val="12"/>
        </w:rPr>
        <w:t xml:space="preserve"> their support in reviewing drafts of this briefing document</w:t>
      </w:r>
      <w:r w:rsidR="00684F2F" w:rsidRPr="009A7E2C">
        <w:rPr>
          <w:sz w:val="12"/>
          <w:szCs w:val="12"/>
        </w:rPr>
        <w:t>: Kevin Albertson</w:t>
      </w:r>
      <w:r w:rsidR="00700056" w:rsidRPr="009A7E2C">
        <w:rPr>
          <w:sz w:val="12"/>
          <w:szCs w:val="12"/>
        </w:rPr>
        <w:t xml:space="preserve">, Professor of Economics, MMU; Ashwin </w:t>
      </w:r>
      <w:r w:rsidR="00762452" w:rsidRPr="009A7E2C">
        <w:rPr>
          <w:sz w:val="12"/>
          <w:szCs w:val="12"/>
        </w:rPr>
        <w:t>Kumar, Professor of Social Policy</w:t>
      </w:r>
      <w:r w:rsidR="00B265B5" w:rsidRPr="009A7E2C">
        <w:rPr>
          <w:sz w:val="12"/>
          <w:szCs w:val="12"/>
        </w:rPr>
        <w:t xml:space="preserve"> &amp; Director of </w:t>
      </w:r>
      <w:hyperlink r:id="rId1" w:history="1">
        <w:r w:rsidR="00B265B5" w:rsidRPr="009A7E2C">
          <w:rPr>
            <w:rStyle w:val="Hyperlink"/>
            <w:sz w:val="12"/>
            <w:szCs w:val="12"/>
          </w:rPr>
          <w:t>PERU</w:t>
        </w:r>
      </w:hyperlink>
      <w:r w:rsidR="009A7E2C" w:rsidRPr="009A7E2C">
        <w:rPr>
          <w:sz w:val="12"/>
          <w:szCs w:val="12"/>
        </w:rPr>
        <w:t xml:space="preserve">; Laurie </w:t>
      </w:r>
      <w:proofErr w:type="spellStart"/>
      <w:r w:rsidR="009A7E2C" w:rsidRPr="009A7E2C">
        <w:rPr>
          <w:sz w:val="12"/>
          <w:szCs w:val="12"/>
        </w:rPr>
        <w:t>Hunte</w:t>
      </w:r>
      <w:proofErr w:type="spellEnd"/>
      <w:r w:rsidR="009A7E2C" w:rsidRPr="009A7E2C">
        <w:rPr>
          <w:sz w:val="12"/>
          <w:szCs w:val="12"/>
        </w:rPr>
        <w:t>, Criminal Justice Programme Manager, Barrow Cadbury Trust.</w:t>
      </w:r>
    </w:p>
  </w:footnote>
  <w:footnote w:id="2">
    <w:p w14:paraId="5568BF64" w14:textId="54068093" w:rsidR="00F643C1" w:rsidRPr="00B618CF" w:rsidRDefault="00F643C1">
      <w:pPr>
        <w:pStyle w:val="FootnoteText"/>
        <w:rPr>
          <w:sz w:val="12"/>
          <w:szCs w:val="12"/>
        </w:rPr>
      </w:pPr>
      <w:r w:rsidRPr="00B618CF">
        <w:rPr>
          <w:rStyle w:val="FootnoteReference"/>
          <w:sz w:val="12"/>
          <w:szCs w:val="12"/>
        </w:rPr>
        <w:footnoteRef/>
      </w:r>
      <w:r w:rsidRPr="00B618CF">
        <w:rPr>
          <w:sz w:val="12"/>
          <w:szCs w:val="12"/>
        </w:rPr>
        <w:t xml:space="preserve"> Dangerous Associations </w:t>
      </w:r>
    </w:p>
    <w:p w14:paraId="74BC5097" w14:textId="502D22F2" w:rsidR="00BD210C" w:rsidRPr="0056480B" w:rsidRDefault="00000000">
      <w:pPr>
        <w:pStyle w:val="FootnoteText"/>
        <w:rPr>
          <w:sz w:val="12"/>
          <w:szCs w:val="12"/>
        </w:rPr>
      </w:pPr>
      <w:hyperlink r:id="rId2" w:history="1">
        <w:r w:rsidR="00BD210C" w:rsidRPr="0056480B">
          <w:rPr>
            <w:rStyle w:val="Hyperlink"/>
            <w:sz w:val="12"/>
            <w:szCs w:val="12"/>
          </w:rPr>
          <w:t xml:space="preserve">Dangerous associations: Joint enterprise, </w:t>
        </w:r>
        <w:proofErr w:type="gramStart"/>
        <w:r w:rsidR="00BD210C" w:rsidRPr="0056480B">
          <w:rPr>
            <w:rStyle w:val="Hyperlink"/>
            <w:sz w:val="12"/>
            <w:szCs w:val="12"/>
          </w:rPr>
          <w:t>gangs</w:t>
        </w:r>
        <w:proofErr w:type="gramEnd"/>
        <w:r w:rsidR="00BD210C" w:rsidRPr="0056480B">
          <w:rPr>
            <w:rStyle w:val="Hyperlink"/>
            <w:sz w:val="12"/>
            <w:szCs w:val="12"/>
          </w:rPr>
          <w:t xml:space="preserve"> and racism | Centre for Crime and Justice Studies</w:t>
        </w:r>
      </w:hyperlink>
    </w:p>
    <w:p w14:paraId="1D79345A" w14:textId="7E46D0EC" w:rsidR="00BD210C" w:rsidRPr="0056480B" w:rsidRDefault="00000000">
      <w:pPr>
        <w:pStyle w:val="FootnoteText"/>
        <w:rPr>
          <w:sz w:val="12"/>
          <w:szCs w:val="12"/>
        </w:rPr>
      </w:pPr>
      <w:hyperlink r:id="rId3" w:history="1">
        <w:r w:rsidR="00BD210C" w:rsidRPr="0056480B">
          <w:rPr>
            <w:rStyle w:val="Hyperlink"/>
            <w:sz w:val="12"/>
            <w:szCs w:val="12"/>
          </w:rPr>
          <w:t>Dangerous Associations - a documentary - HOME (homemcr.org)</w:t>
        </w:r>
      </w:hyperlink>
    </w:p>
    <w:p w14:paraId="07DE2D98" w14:textId="0E3241E2" w:rsidR="00872612" w:rsidRPr="0056480B" w:rsidRDefault="00000000">
      <w:pPr>
        <w:pStyle w:val="FootnoteText"/>
        <w:rPr>
          <w:sz w:val="12"/>
          <w:szCs w:val="12"/>
        </w:rPr>
      </w:pPr>
      <w:hyperlink r:id="rId4" w:history="1">
        <w:r w:rsidR="00872612" w:rsidRPr="0056480B">
          <w:rPr>
            <w:rStyle w:val="Hyperlink"/>
            <w:sz w:val="12"/>
            <w:szCs w:val="12"/>
          </w:rPr>
          <w:t xml:space="preserve">(Re)producing Guilt in Suspect Communities: The Centrality of Racialisation in Joint Enterprise Prosecutions | International Journal for Crime, </w:t>
        </w:r>
        <w:proofErr w:type="gramStart"/>
        <w:r w:rsidR="00872612" w:rsidRPr="0056480B">
          <w:rPr>
            <w:rStyle w:val="Hyperlink"/>
            <w:sz w:val="12"/>
            <w:szCs w:val="12"/>
          </w:rPr>
          <w:t>Justice</w:t>
        </w:r>
        <w:proofErr w:type="gramEnd"/>
        <w:r w:rsidR="00872612" w:rsidRPr="0056480B">
          <w:rPr>
            <w:rStyle w:val="Hyperlink"/>
            <w:sz w:val="12"/>
            <w:szCs w:val="12"/>
          </w:rPr>
          <w:t xml:space="preserve"> and Social Democracy (crimejusticejournal.com)</w:t>
        </w:r>
      </w:hyperlink>
    </w:p>
    <w:p w14:paraId="78DB9DF2" w14:textId="7C79CF50" w:rsidR="00872612" w:rsidRPr="0056480B" w:rsidRDefault="00872612">
      <w:pPr>
        <w:pStyle w:val="FootnoteText"/>
        <w:rPr>
          <w:sz w:val="12"/>
          <w:szCs w:val="12"/>
        </w:rPr>
      </w:pPr>
      <w:r w:rsidRPr="0056480B">
        <w:rPr>
          <w:sz w:val="12"/>
          <w:szCs w:val="12"/>
        </w:rPr>
        <w:t xml:space="preserve">Stories of Injustice </w:t>
      </w:r>
    </w:p>
    <w:p w14:paraId="43D06B35" w14:textId="35DB70CB" w:rsidR="00872612" w:rsidRPr="0056480B" w:rsidRDefault="00000000">
      <w:pPr>
        <w:pStyle w:val="FootnoteText"/>
        <w:rPr>
          <w:sz w:val="12"/>
          <w:szCs w:val="12"/>
        </w:rPr>
      </w:pPr>
      <w:hyperlink r:id="rId5" w:history="1">
        <w:r w:rsidR="00872612" w:rsidRPr="0056480B">
          <w:rPr>
            <w:rStyle w:val="Hyperlink"/>
            <w:sz w:val="12"/>
            <w:szCs w:val="12"/>
          </w:rPr>
          <w:t>Stories-of-Injustice-women-and-JE.pdf (barrowcadbury.org.uk)</w:t>
        </w:r>
      </w:hyperlink>
    </w:p>
    <w:p w14:paraId="6903A71A" w14:textId="1D703BB6" w:rsidR="0056480B" w:rsidRPr="0056480B" w:rsidRDefault="00000000">
      <w:pPr>
        <w:pStyle w:val="FootnoteText"/>
        <w:rPr>
          <w:sz w:val="12"/>
          <w:szCs w:val="12"/>
        </w:rPr>
      </w:pPr>
      <w:hyperlink r:id="rId6" w:history="1">
        <w:r w:rsidR="0056480B" w:rsidRPr="0056480B">
          <w:rPr>
            <w:rStyle w:val="Hyperlink"/>
            <w:sz w:val="12"/>
            <w:szCs w:val="12"/>
          </w:rPr>
          <w:t xml:space="preserve">Joint by Jay Bernard, performed by Indra </w:t>
        </w:r>
        <w:proofErr w:type="spellStart"/>
        <w:r w:rsidR="0056480B" w:rsidRPr="0056480B">
          <w:rPr>
            <w:rStyle w:val="Hyperlink"/>
            <w:sz w:val="12"/>
            <w:szCs w:val="12"/>
          </w:rPr>
          <w:t>Ové</w:t>
        </w:r>
        <w:proofErr w:type="spellEnd"/>
        <w:r w:rsidR="0056480B" w:rsidRPr="0056480B">
          <w:rPr>
            <w:rStyle w:val="Hyperlink"/>
            <w:sz w:val="12"/>
            <w:szCs w:val="12"/>
          </w:rPr>
          <w:t xml:space="preserve"> - YouTube</w:t>
        </w:r>
      </w:hyperlink>
    </w:p>
    <w:p w14:paraId="667193B3" w14:textId="6B775B65" w:rsidR="0056480B" w:rsidRDefault="00000000">
      <w:pPr>
        <w:pStyle w:val="FootnoteText"/>
      </w:pPr>
      <w:hyperlink r:id="rId7" w:history="1">
        <w:r w:rsidR="0056480B" w:rsidRPr="0056480B">
          <w:rPr>
            <w:rStyle w:val="Hyperlink"/>
            <w:sz w:val="12"/>
            <w:szCs w:val="12"/>
          </w:rPr>
          <w:t xml:space="preserve">The Criminalisation of Women in Joint Enterprise Cases: Exposing the Limits to ‘Serving’ Girls and Women Justice | International Journal for Crime, </w:t>
        </w:r>
        <w:proofErr w:type="gramStart"/>
        <w:r w:rsidR="0056480B" w:rsidRPr="0056480B">
          <w:rPr>
            <w:rStyle w:val="Hyperlink"/>
            <w:sz w:val="12"/>
            <w:szCs w:val="12"/>
          </w:rPr>
          <w:t>Justice</w:t>
        </w:r>
        <w:proofErr w:type="gramEnd"/>
        <w:r w:rsidR="0056480B" w:rsidRPr="0056480B">
          <w:rPr>
            <w:rStyle w:val="Hyperlink"/>
            <w:sz w:val="12"/>
            <w:szCs w:val="12"/>
          </w:rPr>
          <w:t xml:space="preserve"> and Social Democracy (crimejusticejournal.com)</w:t>
        </w:r>
      </w:hyperlink>
    </w:p>
  </w:footnote>
  <w:footnote w:id="3">
    <w:p w14:paraId="58B601EF" w14:textId="77777777" w:rsidR="00C73125" w:rsidRPr="0092151F" w:rsidRDefault="00C73125" w:rsidP="00C73125">
      <w:pPr>
        <w:pStyle w:val="FootnoteText"/>
        <w:rPr>
          <w:sz w:val="12"/>
          <w:szCs w:val="12"/>
        </w:rPr>
      </w:pPr>
      <w:r w:rsidRPr="0092151F">
        <w:rPr>
          <w:rStyle w:val="FootnoteReference"/>
          <w:sz w:val="12"/>
          <w:szCs w:val="12"/>
        </w:rPr>
        <w:footnoteRef/>
      </w:r>
      <w:r w:rsidRPr="0092151F">
        <w:rPr>
          <w:sz w:val="12"/>
          <w:szCs w:val="12"/>
        </w:rPr>
        <w:t xml:space="preserve"> This complexity is compounded by the separation of ministerial and governance responsibilities which means that the Home Office is primarily responsible for Policing; with the Attorney General’s office having responsibility for the Crown Prosecution Service (CPS) and Serious Fraud Office; and then the Ministry of Justice being responsible for (Magistrates and Crown) Courts, National Offender Management Services (including Prisons and Probation Services).  </w:t>
      </w:r>
    </w:p>
  </w:footnote>
  <w:footnote w:id="4">
    <w:p w14:paraId="595AAFD5" w14:textId="77777777" w:rsidR="00A7616A" w:rsidRPr="000E79B0" w:rsidRDefault="00A7616A" w:rsidP="00A7616A">
      <w:pPr>
        <w:pStyle w:val="FootnoteText"/>
        <w:rPr>
          <w:sz w:val="12"/>
          <w:szCs w:val="12"/>
        </w:rPr>
      </w:pPr>
      <w:r w:rsidRPr="000E79B0">
        <w:rPr>
          <w:rStyle w:val="FootnoteReference"/>
          <w:sz w:val="12"/>
          <w:szCs w:val="12"/>
        </w:rPr>
        <w:footnoteRef/>
      </w:r>
      <w:r w:rsidRPr="000E79B0">
        <w:rPr>
          <w:sz w:val="12"/>
          <w:szCs w:val="12"/>
        </w:rPr>
        <w:t xml:space="preserve"> </w:t>
      </w:r>
      <w:hyperlink r:id="rId8" w:history="1">
        <w:r w:rsidRPr="000E79B0">
          <w:rPr>
            <w:rStyle w:val="Hyperlink"/>
            <w:sz w:val="12"/>
            <w:szCs w:val="12"/>
          </w:rPr>
          <w:t>Efficiency in the criminal justice system (nao.org.uk)</w:t>
        </w:r>
      </w:hyperlink>
    </w:p>
  </w:footnote>
  <w:footnote w:id="5">
    <w:p w14:paraId="17267620" w14:textId="08D6A2DB" w:rsidR="00EE11BB" w:rsidRPr="00EE11BB" w:rsidRDefault="00EE11BB">
      <w:pPr>
        <w:pStyle w:val="FootnoteText"/>
        <w:rPr>
          <w:sz w:val="12"/>
          <w:szCs w:val="12"/>
        </w:rPr>
      </w:pPr>
      <w:r w:rsidRPr="00EE11BB">
        <w:rPr>
          <w:rStyle w:val="FootnoteReference"/>
          <w:sz w:val="12"/>
          <w:szCs w:val="12"/>
        </w:rPr>
        <w:footnoteRef/>
      </w:r>
      <w:r w:rsidRPr="00EE11BB">
        <w:rPr>
          <w:sz w:val="12"/>
          <w:szCs w:val="12"/>
        </w:rPr>
        <w:t xml:space="preserve"> </w:t>
      </w:r>
      <w:hyperlink r:id="rId9" w:history="1">
        <w:r w:rsidRPr="00EE11BB">
          <w:rPr>
            <w:rStyle w:val="Hyperlink"/>
            <w:sz w:val="12"/>
            <w:szCs w:val="12"/>
          </w:rPr>
          <w:t>Crown Prosecution Service Joint Enterprise Pilot 2023: Data Analysis | The Crown Prosecution Service (cps.gov.uk)</w:t>
        </w:r>
      </w:hyperlink>
    </w:p>
  </w:footnote>
  <w:footnote w:id="6">
    <w:p w14:paraId="68EE8DDC" w14:textId="0DD91F6A" w:rsidR="00D37D68" w:rsidRPr="00446FBB" w:rsidRDefault="00D37D68">
      <w:pPr>
        <w:pStyle w:val="FootnoteText"/>
        <w:rPr>
          <w:sz w:val="12"/>
          <w:szCs w:val="12"/>
        </w:rPr>
      </w:pPr>
      <w:r w:rsidRPr="00446FBB">
        <w:rPr>
          <w:rStyle w:val="FootnoteReference"/>
          <w:sz w:val="12"/>
          <w:szCs w:val="12"/>
        </w:rPr>
        <w:footnoteRef/>
      </w:r>
      <w:r w:rsidRPr="00446FBB">
        <w:rPr>
          <w:sz w:val="12"/>
          <w:szCs w:val="12"/>
        </w:rPr>
        <w:t xml:space="preserve"> See footnote one, in particular </w:t>
      </w:r>
      <w:hyperlink r:id="rId10" w:history="1">
        <w:r w:rsidR="00446FBB" w:rsidRPr="00446FBB">
          <w:rPr>
            <w:rStyle w:val="Hyperlink"/>
            <w:sz w:val="12"/>
            <w:szCs w:val="12"/>
          </w:rPr>
          <w:t>Dangerous associations: Joint enterprise, gangs and racism | Centre for Crime and Justice Studies</w:t>
        </w:r>
      </w:hyperlink>
      <w:r w:rsidR="00446FBB" w:rsidRPr="00446FBB">
        <w:rPr>
          <w:sz w:val="12"/>
          <w:szCs w:val="12"/>
        </w:rPr>
        <w:t xml:space="preserve"> and </w:t>
      </w:r>
      <w:hyperlink r:id="rId11" w:history="1">
        <w:r w:rsidR="00446FBB" w:rsidRPr="00446FBB">
          <w:rPr>
            <w:rStyle w:val="Hyperlink"/>
            <w:sz w:val="12"/>
            <w:szCs w:val="12"/>
          </w:rPr>
          <w:t>Stories-of-Injustice-women-and-JE.pdf (barrowcadbury.org.uk)</w:t>
        </w:r>
      </w:hyperlink>
    </w:p>
  </w:footnote>
  <w:footnote w:id="7">
    <w:p w14:paraId="4B4C4146" w14:textId="5661CB5B" w:rsidR="004826D2" w:rsidRPr="00764CE3" w:rsidRDefault="004826D2">
      <w:pPr>
        <w:pStyle w:val="FootnoteText"/>
        <w:rPr>
          <w:sz w:val="12"/>
          <w:szCs w:val="12"/>
        </w:rPr>
      </w:pPr>
      <w:r w:rsidRPr="00764CE3">
        <w:rPr>
          <w:rStyle w:val="FootnoteReference"/>
          <w:sz w:val="12"/>
          <w:szCs w:val="12"/>
        </w:rPr>
        <w:footnoteRef/>
      </w:r>
      <w:r w:rsidRPr="00764CE3">
        <w:rPr>
          <w:sz w:val="12"/>
          <w:szCs w:val="12"/>
        </w:rPr>
        <w:t xml:space="preserve"> </w:t>
      </w:r>
      <w:r w:rsidR="00CD7879" w:rsidRPr="00764CE3">
        <w:rPr>
          <w:sz w:val="12"/>
          <w:szCs w:val="12"/>
        </w:rPr>
        <w:t xml:space="preserve">Table 2.1 </w:t>
      </w:r>
      <w:hyperlink r:id="rId12" w:history="1">
        <w:r w:rsidR="00CD7879" w:rsidRPr="00764CE3">
          <w:rPr>
            <w:rStyle w:val="Hyperlink"/>
            <w:sz w:val="12"/>
            <w:szCs w:val="12"/>
          </w:rPr>
          <w:t>Prosecution-Data-Tables-Year-Ending-June-2022.xlsx (live.com)</w:t>
        </w:r>
      </w:hyperlink>
      <w:r w:rsidR="00CD7879" w:rsidRPr="00764CE3">
        <w:rPr>
          <w:sz w:val="12"/>
          <w:szCs w:val="12"/>
        </w:rPr>
        <w:t xml:space="preserve"> </w:t>
      </w:r>
      <w:r w:rsidR="00764CE3" w:rsidRPr="00764CE3">
        <w:rPr>
          <w:sz w:val="12"/>
          <w:szCs w:val="12"/>
        </w:rPr>
        <w:t xml:space="preserve"> This </w:t>
      </w:r>
      <w:r w:rsidRPr="00764CE3">
        <w:rPr>
          <w:sz w:val="12"/>
          <w:szCs w:val="12"/>
        </w:rPr>
        <w:t>conversion data on Homicide</w:t>
      </w:r>
      <w:r w:rsidR="00764CE3" w:rsidRPr="00764CE3">
        <w:rPr>
          <w:sz w:val="12"/>
          <w:szCs w:val="12"/>
        </w:rPr>
        <w:t xml:space="preserve"> </w:t>
      </w:r>
      <w:r w:rsidRPr="00764CE3">
        <w:rPr>
          <w:sz w:val="12"/>
          <w:szCs w:val="12"/>
        </w:rPr>
        <w:t xml:space="preserve">suggests 80% of these defendants will be convicted. </w:t>
      </w:r>
      <w:r w:rsidR="00550888" w:rsidRPr="00764CE3">
        <w:rPr>
          <w:sz w:val="12"/>
          <w:szCs w:val="12"/>
        </w:rPr>
        <w:t xml:space="preserve">It is noteworthy that </w:t>
      </w:r>
      <w:r w:rsidR="0037003D" w:rsidRPr="00764CE3">
        <w:rPr>
          <w:sz w:val="12"/>
          <w:szCs w:val="12"/>
        </w:rPr>
        <w:t xml:space="preserve">conversion rates are higher for white defendants when compared to minority ethnic groups. </w:t>
      </w:r>
      <w:r w:rsidR="00E36985" w:rsidRPr="00764CE3">
        <w:rPr>
          <w:sz w:val="12"/>
          <w:szCs w:val="12"/>
        </w:rPr>
        <w:t xml:space="preserve"> </w:t>
      </w:r>
    </w:p>
  </w:footnote>
  <w:footnote w:id="8">
    <w:p w14:paraId="5570655D" w14:textId="77777777" w:rsidR="0095656A" w:rsidRPr="009617FC" w:rsidRDefault="0095656A" w:rsidP="00215941">
      <w:pPr>
        <w:pStyle w:val="NoSpacing"/>
        <w:rPr>
          <w:sz w:val="12"/>
          <w:szCs w:val="12"/>
        </w:rPr>
      </w:pPr>
      <w:r w:rsidRPr="00D726EB">
        <w:rPr>
          <w:rStyle w:val="FootnoteReference"/>
          <w:sz w:val="12"/>
          <w:szCs w:val="12"/>
        </w:rPr>
        <w:footnoteRef/>
      </w:r>
      <w:r w:rsidRPr="00D726EB">
        <w:rPr>
          <w:sz w:val="12"/>
          <w:szCs w:val="12"/>
        </w:rPr>
        <w:t xml:space="preserve"> Latest MOJ published data </w:t>
      </w:r>
      <w:hyperlink r:id="rId13" w:history="1">
        <w:r w:rsidRPr="00D726EB">
          <w:rPr>
            <w:rStyle w:val="Hyperlink"/>
            <w:sz w:val="12"/>
            <w:szCs w:val="12"/>
          </w:rPr>
          <w:t>Prison performance data 2021 to 2022 - GOV.UK (www.gov.uk)</w:t>
        </w:r>
      </w:hyperlink>
    </w:p>
  </w:footnote>
  <w:footnote w:id="9">
    <w:p w14:paraId="6480321A" w14:textId="6671A803" w:rsidR="003234D6" w:rsidRPr="009617FC" w:rsidRDefault="003234D6" w:rsidP="003234D6">
      <w:pPr>
        <w:pStyle w:val="FootnoteText"/>
        <w:rPr>
          <w:sz w:val="12"/>
          <w:szCs w:val="12"/>
        </w:rPr>
      </w:pPr>
      <w:r w:rsidRPr="009617FC">
        <w:rPr>
          <w:rStyle w:val="FootnoteReference"/>
          <w:sz w:val="12"/>
          <w:szCs w:val="12"/>
        </w:rPr>
        <w:footnoteRef/>
      </w:r>
      <w:r w:rsidRPr="009617FC">
        <w:rPr>
          <w:sz w:val="12"/>
          <w:szCs w:val="12"/>
        </w:rPr>
        <w:t xml:space="preserve"> Taken from 2018 publication </w:t>
      </w:r>
      <w:hyperlink r:id="rId14" w:history="1">
        <w:r w:rsidRPr="009617FC">
          <w:rPr>
            <w:rStyle w:val="Hyperlink"/>
            <w:sz w:val="12"/>
            <w:szCs w:val="12"/>
          </w:rPr>
          <w:t>The economic and social costs of crime (publishing.service.gov.uk)</w:t>
        </w:r>
      </w:hyperlink>
    </w:p>
  </w:footnote>
  <w:footnote w:id="10">
    <w:p w14:paraId="4E6308F2" w14:textId="77777777" w:rsidR="005A54DE" w:rsidRPr="005D07B6" w:rsidRDefault="005A54DE" w:rsidP="005A54DE">
      <w:pPr>
        <w:pStyle w:val="NoSpacing"/>
        <w:rPr>
          <w:sz w:val="12"/>
          <w:szCs w:val="12"/>
        </w:rPr>
      </w:pPr>
      <w:r w:rsidRPr="005D07B6">
        <w:rPr>
          <w:rStyle w:val="FootnoteReference"/>
          <w:sz w:val="12"/>
          <w:szCs w:val="12"/>
        </w:rPr>
        <w:footnoteRef/>
      </w:r>
      <w:r w:rsidRPr="005D07B6">
        <w:rPr>
          <w:sz w:val="12"/>
          <w:szCs w:val="12"/>
        </w:rPr>
        <w:t xml:space="preserve"> Taken from 2018 publication – included detailed data validation with CJ practitioners. Table 23 on p58 Homicide costs </w:t>
      </w:r>
      <w:hyperlink r:id="rId15" w:history="1">
        <w:r w:rsidRPr="005D07B6">
          <w:rPr>
            <w:rStyle w:val="Hyperlink"/>
            <w:sz w:val="12"/>
            <w:szCs w:val="12"/>
          </w:rPr>
          <w:t>The economic and social costs of crime (publishing.service.gov.uk)</w:t>
        </w:r>
      </w:hyperlink>
      <w:r w:rsidRPr="005D07B6">
        <w:rPr>
          <w:rStyle w:val="Hyperlink"/>
          <w:sz w:val="12"/>
          <w:szCs w:val="12"/>
        </w:rPr>
        <w:t xml:space="preserve"> </w:t>
      </w:r>
    </w:p>
  </w:footnote>
  <w:footnote w:id="11">
    <w:p w14:paraId="2D97E20F" w14:textId="61929A8E" w:rsidR="00E558B5" w:rsidRPr="00E558B5" w:rsidRDefault="00E558B5" w:rsidP="00E558B5">
      <w:pPr>
        <w:pStyle w:val="NoSpacing"/>
        <w:rPr>
          <w:b/>
          <w:bCs/>
          <w:sz w:val="12"/>
          <w:szCs w:val="12"/>
        </w:rPr>
      </w:pPr>
      <w:r w:rsidRPr="00E558B5">
        <w:rPr>
          <w:rStyle w:val="FootnoteReference"/>
          <w:sz w:val="12"/>
          <w:szCs w:val="12"/>
        </w:rPr>
        <w:footnoteRef/>
      </w:r>
      <w:r w:rsidRPr="00E558B5">
        <w:rPr>
          <w:sz w:val="12"/>
          <w:szCs w:val="12"/>
        </w:rPr>
        <w:t xml:space="preserve"> Average sentence length. </w:t>
      </w:r>
      <w:hyperlink r:id="rId16" w:history="1">
        <w:r w:rsidRPr="00E558B5">
          <w:rPr>
            <w:rStyle w:val="Hyperlink"/>
            <w:sz w:val="12"/>
            <w:szCs w:val="12"/>
          </w:rPr>
          <w:t>Dangerous Associations</w:t>
        </w:r>
      </w:hyperlink>
      <w:r w:rsidRPr="00E558B5">
        <w:rPr>
          <w:sz w:val="12"/>
          <w:szCs w:val="12"/>
        </w:rPr>
        <w:t xml:space="preserve"> average JE sentence / tariff 20 years (n=241 JE prisoners); </w:t>
      </w:r>
      <w:hyperlink r:id="rId17" w:history="1">
        <w:r w:rsidRPr="00E558B5">
          <w:rPr>
            <w:rStyle w:val="Hyperlink"/>
            <w:sz w:val="12"/>
            <w:szCs w:val="12"/>
          </w:rPr>
          <w:t>Cambridge Lifer Study</w:t>
        </w:r>
      </w:hyperlink>
      <w:r w:rsidRPr="00E558B5">
        <w:rPr>
          <w:sz w:val="12"/>
          <w:szCs w:val="12"/>
        </w:rPr>
        <w:t xml:space="preserve"> average tariff JE prisoners 21 years men and 18 years women. (n = 153 JE prisoners)</w:t>
      </w:r>
    </w:p>
  </w:footnote>
  <w:footnote w:id="12">
    <w:p w14:paraId="5683EA94" w14:textId="77777777" w:rsidR="00C56D79" w:rsidRPr="00AD276B" w:rsidRDefault="00C56D79" w:rsidP="00C56D79">
      <w:pPr>
        <w:pStyle w:val="FootnoteText"/>
        <w:rPr>
          <w:sz w:val="12"/>
          <w:szCs w:val="12"/>
        </w:rPr>
      </w:pPr>
      <w:r w:rsidRPr="00AD276B">
        <w:rPr>
          <w:rStyle w:val="FootnoteReference"/>
          <w:sz w:val="12"/>
          <w:szCs w:val="12"/>
        </w:rPr>
        <w:footnoteRef/>
      </w:r>
      <w:r w:rsidRPr="00AD276B">
        <w:rPr>
          <w:sz w:val="12"/>
          <w:szCs w:val="12"/>
        </w:rPr>
        <w:t xml:space="preserve"> Taken from 2018 publication – included detailed data validation with CJ practitioners. Table 23 on p58 Homicide costs </w:t>
      </w:r>
      <w:hyperlink r:id="rId18" w:history="1">
        <w:r w:rsidRPr="00AD276B">
          <w:rPr>
            <w:rStyle w:val="Hyperlink"/>
            <w:sz w:val="12"/>
            <w:szCs w:val="12"/>
          </w:rPr>
          <w:t>The economic and social costs of crime (publishing.service.gov.uk)</w:t>
        </w:r>
      </w:hyperlink>
    </w:p>
  </w:footnote>
  <w:footnote w:id="13">
    <w:p w14:paraId="7F003BCC" w14:textId="66BA607A" w:rsidR="00FF1BF9" w:rsidRPr="00075A8C" w:rsidRDefault="00FF1BF9" w:rsidP="00075A8C">
      <w:pPr>
        <w:pStyle w:val="NoSpacing"/>
        <w:rPr>
          <w:sz w:val="12"/>
          <w:szCs w:val="12"/>
        </w:rPr>
      </w:pPr>
      <w:r w:rsidRPr="00075A8C">
        <w:rPr>
          <w:rStyle w:val="FootnoteReference"/>
          <w:sz w:val="12"/>
          <w:szCs w:val="12"/>
        </w:rPr>
        <w:footnoteRef/>
      </w:r>
      <w:r w:rsidRPr="00075A8C">
        <w:rPr>
          <w:sz w:val="12"/>
          <w:szCs w:val="12"/>
        </w:rPr>
        <w:t xml:space="preserve"> Calculated on basis of the current average days wait from post charge listing to trial date in crown court. NAO report this as 230 days. </w:t>
      </w:r>
      <w:hyperlink r:id="rId19" w:history="1">
        <w:r w:rsidR="00A170F9" w:rsidRPr="00075A8C">
          <w:rPr>
            <w:rStyle w:val="Hyperlink"/>
            <w:rFonts w:eastAsia="Times New Roman"/>
            <w:sz w:val="12"/>
            <w:szCs w:val="12"/>
          </w:rPr>
          <w:t>https://www.nao.org.uk/wp-content/uploads/2021/10/Reducing-the-backlog-in-criminal-courts.pdf</w:t>
        </w:r>
      </w:hyperlink>
      <w:r w:rsidR="00075A8C" w:rsidRPr="00075A8C">
        <w:rPr>
          <w:rFonts w:eastAsia="Times New Roman"/>
          <w:sz w:val="12"/>
          <w:szCs w:val="12"/>
        </w:rPr>
        <w:t xml:space="preserve"> </w:t>
      </w:r>
      <w:r w:rsidRPr="00075A8C">
        <w:rPr>
          <w:sz w:val="12"/>
          <w:szCs w:val="12"/>
        </w:rPr>
        <w:t>We have used the proportionate cost of prisoner place in a male reception prison (£45,582).</w:t>
      </w:r>
    </w:p>
  </w:footnote>
  <w:footnote w:id="14">
    <w:p w14:paraId="485B0A19" w14:textId="024204BE" w:rsidR="005A54DE" w:rsidRPr="00D82EBD" w:rsidRDefault="005A54DE" w:rsidP="005A54DE">
      <w:pPr>
        <w:pStyle w:val="FootnoteText"/>
        <w:rPr>
          <w:sz w:val="12"/>
          <w:szCs w:val="12"/>
        </w:rPr>
      </w:pPr>
      <w:r w:rsidRPr="00D82EBD">
        <w:rPr>
          <w:rStyle w:val="FootnoteReference"/>
          <w:sz w:val="12"/>
          <w:szCs w:val="12"/>
        </w:rPr>
        <w:footnoteRef/>
      </w:r>
      <w:r w:rsidRPr="00D82EBD">
        <w:rPr>
          <w:sz w:val="12"/>
          <w:szCs w:val="12"/>
        </w:rPr>
        <w:t xml:space="preserve"> Calculated on basis of the cost per prison of male dispersal prison space </w:t>
      </w:r>
      <w:r>
        <w:rPr>
          <w:sz w:val="12"/>
          <w:szCs w:val="12"/>
        </w:rPr>
        <w:t xml:space="preserve">(£51,580) </w:t>
      </w:r>
      <w:r w:rsidRPr="00D82EBD">
        <w:rPr>
          <w:sz w:val="12"/>
          <w:szCs w:val="12"/>
        </w:rPr>
        <w:t>for average tariff of 20 years</w:t>
      </w:r>
      <w:r>
        <w:rPr>
          <w:sz w:val="12"/>
          <w:szCs w:val="12"/>
        </w:rPr>
        <w:t xml:space="preserve"> average sentence length.</w:t>
      </w:r>
    </w:p>
  </w:footnote>
  <w:footnote w:id="15">
    <w:p w14:paraId="08CED5D1" w14:textId="68A8CF12" w:rsidR="004457EB" w:rsidRDefault="000D63BB">
      <w:pPr>
        <w:pStyle w:val="FootnoteText"/>
        <w:rPr>
          <w:rStyle w:val="Hyperlink"/>
          <w:sz w:val="12"/>
          <w:szCs w:val="12"/>
        </w:rPr>
      </w:pPr>
      <w:r w:rsidRPr="000D63BB">
        <w:rPr>
          <w:rStyle w:val="FootnoteReference"/>
          <w:sz w:val="12"/>
          <w:szCs w:val="12"/>
        </w:rPr>
        <w:footnoteRef/>
      </w:r>
      <w:r w:rsidRPr="000D63BB">
        <w:rPr>
          <w:sz w:val="12"/>
          <w:szCs w:val="12"/>
        </w:rPr>
        <w:t xml:space="preserve"> </w:t>
      </w:r>
      <w:hyperlink r:id="rId20" w:history="1">
        <w:r w:rsidRPr="000D63BB">
          <w:rPr>
            <w:rStyle w:val="Hyperlink"/>
            <w:sz w:val="12"/>
            <w:szCs w:val="12"/>
          </w:rPr>
          <w:t>david-lammy-open-letter-to-prime-minister.pdf (publishing.service.gov.uk)</w:t>
        </w:r>
      </w:hyperlink>
    </w:p>
    <w:p w14:paraId="2F1CCA9E" w14:textId="7E95EA82" w:rsidR="004457EB" w:rsidRPr="004457EB" w:rsidRDefault="004457EB">
      <w:pPr>
        <w:pStyle w:val="FootnoteText"/>
        <w:rPr>
          <w:color w:val="0000FF"/>
          <w:sz w:val="12"/>
          <w:szCs w:val="12"/>
          <w:u w:val="single"/>
        </w:rPr>
      </w:pPr>
      <w:r w:rsidRPr="00633AA4">
        <w:rPr>
          <w:rStyle w:val="FootnoteReference"/>
          <w:sz w:val="12"/>
          <w:szCs w:val="12"/>
        </w:rPr>
        <w:footnoteRef/>
      </w:r>
      <w:r w:rsidRPr="00633AA4">
        <w:rPr>
          <w:sz w:val="12"/>
          <w:szCs w:val="12"/>
        </w:rPr>
        <w:t xml:space="preserve"> </w:t>
      </w:r>
      <w:hyperlink r:id="rId21" w:history="1">
        <w:r w:rsidRPr="00633AA4">
          <w:rPr>
            <w:rStyle w:val="Hyperlink"/>
            <w:sz w:val="12"/>
            <w:szCs w:val="12"/>
          </w:rPr>
          <w:t>JEF0010 - Evidence on Joint Enterprise: follow-up (parliament.uk)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692A" w14:textId="3FD1A954" w:rsidR="009776BF" w:rsidRDefault="005D23C4">
    <w:pPr>
      <w:pStyle w:val="Header"/>
    </w:pPr>
    <w:r>
      <w:rPr>
        <w:noProof/>
      </w:rPr>
      <w:drawing>
        <wp:inline distT="0" distB="0" distL="0" distR="0" wp14:anchorId="6959D547" wp14:editId="3657F5DC">
          <wp:extent cx="1306946" cy="508000"/>
          <wp:effectExtent l="0" t="0" r="7620" b="6350"/>
          <wp:docPr id="6" name="Picture 6" descr="Manchester 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anchester Me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9" cy="5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98E"/>
    <w:multiLevelType w:val="hybridMultilevel"/>
    <w:tmpl w:val="074C5194"/>
    <w:lvl w:ilvl="0" w:tplc="7CEAA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0FBD"/>
    <w:multiLevelType w:val="hybridMultilevel"/>
    <w:tmpl w:val="F748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71BF"/>
    <w:multiLevelType w:val="hybridMultilevel"/>
    <w:tmpl w:val="09A8C5DA"/>
    <w:lvl w:ilvl="0" w:tplc="88AA5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2E3"/>
    <w:multiLevelType w:val="hybridMultilevel"/>
    <w:tmpl w:val="17C8D53A"/>
    <w:lvl w:ilvl="0" w:tplc="95240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2E08"/>
    <w:multiLevelType w:val="hybridMultilevel"/>
    <w:tmpl w:val="A4C246DC"/>
    <w:lvl w:ilvl="0" w:tplc="CB8EBF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23BF"/>
    <w:multiLevelType w:val="hybridMultilevel"/>
    <w:tmpl w:val="19AE7A58"/>
    <w:lvl w:ilvl="0" w:tplc="66BE13E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B3E16"/>
    <w:multiLevelType w:val="hybridMultilevel"/>
    <w:tmpl w:val="EDB258C0"/>
    <w:lvl w:ilvl="0" w:tplc="20A23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A6D4B"/>
    <w:multiLevelType w:val="hybridMultilevel"/>
    <w:tmpl w:val="ABCE77C4"/>
    <w:lvl w:ilvl="0" w:tplc="DDB87B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034708">
    <w:abstractNumId w:val="2"/>
  </w:num>
  <w:num w:numId="2" w16cid:durableId="793445547">
    <w:abstractNumId w:val="3"/>
  </w:num>
  <w:num w:numId="3" w16cid:durableId="231473926">
    <w:abstractNumId w:val="1"/>
  </w:num>
  <w:num w:numId="4" w16cid:durableId="360935814">
    <w:abstractNumId w:val="7"/>
  </w:num>
  <w:num w:numId="5" w16cid:durableId="1316180794">
    <w:abstractNumId w:val="6"/>
  </w:num>
  <w:num w:numId="6" w16cid:durableId="633104315">
    <w:abstractNumId w:val="0"/>
  </w:num>
  <w:num w:numId="7" w16cid:durableId="845094458">
    <w:abstractNumId w:val="4"/>
  </w:num>
  <w:num w:numId="8" w16cid:durableId="755177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F0"/>
    <w:rsid w:val="000001B2"/>
    <w:rsid w:val="0000158E"/>
    <w:rsid w:val="00005E87"/>
    <w:rsid w:val="00010545"/>
    <w:rsid w:val="0001301C"/>
    <w:rsid w:val="00014A2F"/>
    <w:rsid w:val="0001593F"/>
    <w:rsid w:val="00017472"/>
    <w:rsid w:val="00017632"/>
    <w:rsid w:val="00017A5B"/>
    <w:rsid w:val="00020171"/>
    <w:rsid w:val="00021478"/>
    <w:rsid w:val="00026B04"/>
    <w:rsid w:val="000340CC"/>
    <w:rsid w:val="00034AEC"/>
    <w:rsid w:val="000355EC"/>
    <w:rsid w:val="00036B97"/>
    <w:rsid w:val="000415FB"/>
    <w:rsid w:val="0004571D"/>
    <w:rsid w:val="00047F57"/>
    <w:rsid w:val="000517A5"/>
    <w:rsid w:val="00057753"/>
    <w:rsid w:val="00057FBF"/>
    <w:rsid w:val="00060A0D"/>
    <w:rsid w:val="00062012"/>
    <w:rsid w:val="000623D8"/>
    <w:rsid w:val="00064314"/>
    <w:rsid w:val="0006574B"/>
    <w:rsid w:val="000708E8"/>
    <w:rsid w:val="00072890"/>
    <w:rsid w:val="00075A8C"/>
    <w:rsid w:val="0008053E"/>
    <w:rsid w:val="00082418"/>
    <w:rsid w:val="000825FE"/>
    <w:rsid w:val="00082903"/>
    <w:rsid w:val="000835EB"/>
    <w:rsid w:val="000850DB"/>
    <w:rsid w:val="00086D85"/>
    <w:rsid w:val="0009128A"/>
    <w:rsid w:val="00091362"/>
    <w:rsid w:val="00093435"/>
    <w:rsid w:val="000966C1"/>
    <w:rsid w:val="00096FC5"/>
    <w:rsid w:val="000A028A"/>
    <w:rsid w:val="000A0B80"/>
    <w:rsid w:val="000A5B65"/>
    <w:rsid w:val="000A5BF5"/>
    <w:rsid w:val="000B108F"/>
    <w:rsid w:val="000B2615"/>
    <w:rsid w:val="000B47B7"/>
    <w:rsid w:val="000B6A11"/>
    <w:rsid w:val="000B6A37"/>
    <w:rsid w:val="000B714B"/>
    <w:rsid w:val="000C1561"/>
    <w:rsid w:val="000C28A7"/>
    <w:rsid w:val="000C4DBF"/>
    <w:rsid w:val="000C50FB"/>
    <w:rsid w:val="000C661B"/>
    <w:rsid w:val="000C6FB6"/>
    <w:rsid w:val="000C77A7"/>
    <w:rsid w:val="000D048C"/>
    <w:rsid w:val="000D439F"/>
    <w:rsid w:val="000D4F11"/>
    <w:rsid w:val="000D5771"/>
    <w:rsid w:val="000D63BB"/>
    <w:rsid w:val="000D6857"/>
    <w:rsid w:val="000E0C01"/>
    <w:rsid w:val="000E0C1E"/>
    <w:rsid w:val="000E13BF"/>
    <w:rsid w:val="000E62E6"/>
    <w:rsid w:val="000E79B0"/>
    <w:rsid w:val="000E7B1B"/>
    <w:rsid w:val="000F1439"/>
    <w:rsid w:val="000F20A9"/>
    <w:rsid w:val="00104BC3"/>
    <w:rsid w:val="00107340"/>
    <w:rsid w:val="00117F03"/>
    <w:rsid w:val="00132023"/>
    <w:rsid w:val="001324EE"/>
    <w:rsid w:val="0013307E"/>
    <w:rsid w:val="001335D5"/>
    <w:rsid w:val="00134638"/>
    <w:rsid w:val="001353F6"/>
    <w:rsid w:val="00141AA7"/>
    <w:rsid w:val="00141D7A"/>
    <w:rsid w:val="00142096"/>
    <w:rsid w:val="001447E4"/>
    <w:rsid w:val="00152024"/>
    <w:rsid w:val="00153F6E"/>
    <w:rsid w:val="00161509"/>
    <w:rsid w:val="00161613"/>
    <w:rsid w:val="00163E2B"/>
    <w:rsid w:val="00165E1C"/>
    <w:rsid w:val="00165F97"/>
    <w:rsid w:val="00167EEB"/>
    <w:rsid w:val="00170C79"/>
    <w:rsid w:val="00170F6C"/>
    <w:rsid w:val="001725A9"/>
    <w:rsid w:val="0017260B"/>
    <w:rsid w:val="0017468C"/>
    <w:rsid w:val="0017625F"/>
    <w:rsid w:val="001803E6"/>
    <w:rsid w:val="0018100A"/>
    <w:rsid w:val="001821DD"/>
    <w:rsid w:val="00182220"/>
    <w:rsid w:val="00182F43"/>
    <w:rsid w:val="001853EE"/>
    <w:rsid w:val="001875AF"/>
    <w:rsid w:val="00191BC1"/>
    <w:rsid w:val="001924B1"/>
    <w:rsid w:val="00193CA9"/>
    <w:rsid w:val="00194FFC"/>
    <w:rsid w:val="001A055B"/>
    <w:rsid w:val="001A3F6E"/>
    <w:rsid w:val="001A419B"/>
    <w:rsid w:val="001A4717"/>
    <w:rsid w:val="001B05E2"/>
    <w:rsid w:val="001B3CC1"/>
    <w:rsid w:val="001B607C"/>
    <w:rsid w:val="001C06B5"/>
    <w:rsid w:val="001C155E"/>
    <w:rsid w:val="001C2F23"/>
    <w:rsid w:val="001C37E3"/>
    <w:rsid w:val="001C66AA"/>
    <w:rsid w:val="001C7125"/>
    <w:rsid w:val="001C7399"/>
    <w:rsid w:val="001D0B80"/>
    <w:rsid w:val="001D0F53"/>
    <w:rsid w:val="001D1316"/>
    <w:rsid w:val="001D1E35"/>
    <w:rsid w:val="001D3D47"/>
    <w:rsid w:val="001D49C9"/>
    <w:rsid w:val="001D4C76"/>
    <w:rsid w:val="001D7257"/>
    <w:rsid w:val="001E2A9A"/>
    <w:rsid w:val="001E5B79"/>
    <w:rsid w:val="001F1847"/>
    <w:rsid w:val="001F42D8"/>
    <w:rsid w:val="001F53B7"/>
    <w:rsid w:val="001F6138"/>
    <w:rsid w:val="001F758E"/>
    <w:rsid w:val="00201320"/>
    <w:rsid w:val="002037C8"/>
    <w:rsid w:val="00204ED1"/>
    <w:rsid w:val="002059F3"/>
    <w:rsid w:val="0021333B"/>
    <w:rsid w:val="00213458"/>
    <w:rsid w:val="00215377"/>
    <w:rsid w:val="002153E0"/>
    <w:rsid w:val="00215941"/>
    <w:rsid w:val="00215C8D"/>
    <w:rsid w:val="002207D2"/>
    <w:rsid w:val="00223A67"/>
    <w:rsid w:val="00223A85"/>
    <w:rsid w:val="00223AEB"/>
    <w:rsid w:val="00224B8E"/>
    <w:rsid w:val="00225152"/>
    <w:rsid w:val="00227B82"/>
    <w:rsid w:val="00233073"/>
    <w:rsid w:val="0023353B"/>
    <w:rsid w:val="00234448"/>
    <w:rsid w:val="002346A1"/>
    <w:rsid w:val="00236717"/>
    <w:rsid w:val="00236C84"/>
    <w:rsid w:val="00236DE2"/>
    <w:rsid w:val="00237FC0"/>
    <w:rsid w:val="00240F2A"/>
    <w:rsid w:val="002410C5"/>
    <w:rsid w:val="0024218E"/>
    <w:rsid w:val="00242CC4"/>
    <w:rsid w:val="00243129"/>
    <w:rsid w:val="0024411E"/>
    <w:rsid w:val="0024497F"/>
    <w:rsid w:val="0024614D"/>
    <w:rsid w:val="00247F1A"/>
    <w:rsid w:val="00251EE3"/>
    <w:rsid w:val="00253296"/>
    <w:rsid w:val="00255E81"/>
    <w:rsid w:val="002566B9"/>
    <w:rsid w:val="00256762"/>
    <w:rsid w:val="00261624"/>
    <w:rsid w:val="00263CFE"/>
    <w:rsid w:val="00264305"/>
    <w:rsid w:val="00265EB2"/>
    <w:rsid w:val="00266E9A"/>
    <w:rsid w:val="00267E00"/>
    <w:rsid w:val="00270956"/>
    <w:rsid w:val="00271670"/>
    <w:rsid w:val="0027227B"/>
    <w:rsid w:val="00274D69"/>
    <w:rsid w:val="00276533"/>
    <w:rsid w:val="00280022"/>
    <w:rsid w:val="00281ED4"/>
    <w:rsid w:val="002854E4"/>
    <w:rsid w:val="002867EA"/>
    <w:rsid w:val="00290DC7"/>
    <w:rsid w:val="0029478F"/>
    <w:rsid w:val="002970E9"/>
    <w:rsid w:val="002A2807"/>
    <w:rsid w:val="002A39C3"/>
    <w:rsid w:val="002A5294"/>
    <w:rsid w:val="002A5F33"/>
    <w:rsid w:val="002A7325"/>
    <w:rsid w:val="002A7AA6"/>
    <w:rsid w:val="002A7F4E"/>
    <w:rsid w:val="002A7FF9"/>
    <w:rsid w:val="002B0B74"/>
    <w:rsid w:val="002B1367"/>
    <w:rsid w:val="002B4295"/>
    <w:rsid w:val="002B618D"/>
    <w:rsid w:val="002B7496"/>
    <w:rsid w:val="002C2B4C"/>
    <w:rsid w:val="002C3119"/>
    <w:rsid w:val="002C6E10"/>
    <w:rsid w:val="002D07FF"/>
    <w:rsid w:val="002D0DFB"/>
    <w:rsid w:val="002D27AA"/>
    <w:rsid w:val="002D34B8"/>
    <w:rsid w:val="002D3E31"/>
    <w:rsid w:val="002D423A"/>
    <w:rsid w:val="002D45A6"/>
    <w:rsid w:val="002D72C2"/>
    <w:rsid w:val="002D7D27"/>
    <w:rsid w:val="002F05B7"/>
    <w:rsid w:val="002F0BE8"/>
    <w:rsid w:val="002F288A"/>
    <w:rsid w:val="002F4E11"/>
    <w:rsid w:val="002F4FD6"/>
    <w:rsid w:val="002F6ABA"/>
    <w:rsid w:val="003007A7"/>
    <w:rsid w:val="00300A29"/>
    <w:rsid w:val="00300BDE"/>
    <w:rsid w:val="00301C54"/>
    <w:rsid w:val="0030242D"/>
    <w:rsid w:val="003131B0"/>
    <w:rsid w:val="00314B55"/>
    <w:rsid w:val="00314E5B"/>
    <w:rsid w:val="003156CA"/>
    <w:rsid w:val="00315B10"/>
    <w:rsid w:val="00320230"/>
    <w:rsid w:val="003202C6"/>
    <w:rsid w:val="003202E8"/>
    <w:rsid w:val="003234D6"/>
    <w:rsid w:val="00327051"/>
    <w:rsid w:val="003277ED"/>
    <w:rsid w:val="00327D85"/>
    <w:rsid w:val="00335B05"/>
    <w:rsid w:val="00335B20"/>
    <w:rsid w:val="0033696B"/>
    <w:rsid w:val="003409D7"/>
    <w:rsid w:val="00343673"/>
    <w:rsid w:val="003444F7"/>
    <w:rsid w:val="00344E8C"/>
    <w:rsid w:val="003523EE"/>
    <w:rsid w:val="00353D19"/>
    <w:rsid w:val="00353E55"/>
    <w:rsid w:val="00356207"/>
    <w:rsid w:val="00360511"/>
    <w:rsid w:val="003630CF"/>
    <w:rsid w:val="00364EF1"/>
    <w:rsid w:val="003655A0"/>
    <w:rsid w:val="0037003D"/>
    <w:rsid w:val="003714EF"/>
    <w:rsid w:val="003753A3"/>
    <w:rsid w:val="003809DC"/>
    <w:rsid w:val="00382B85"/>
    <w:rsid w:val="00382D6B"/>
    <w:rsid w:val="003859B8"/>
    <w:rsid w:val="00391880"/>
    <w:rsid w:val="00391C1E"/>
    <w:rsid w:val="00394AB2"/>
    <w:rsid w:val="003955CB"/>
    <w:rsid w:val="003A3FD6"/>
    <w:rsid w:val="003A60C6"/>
    <w:rsid w:val="003A750C"/>
    <w:rsid w:val="003B0345"/>
    <w:rsid w:val="003B0809"/>
    <w:rsid w:val="003B0C03"/>
    <w:rsid w:val="003B37A9"/>
    <w:rsid w:val="003B62DD"/>
    <w:rsid w:val="003B72D2"/>
    <w:rsid w:val="003C0512"/>
    <w:rsid w:val="003C33D6"/>
    <w:rsid w:val="003C3469"/>
    <w:rsid w:val="003C3FB8"/>
    <w:rsid w:val="003C46F5"/>
    <w:rsid w:val="003C76BA"/>
    <w:rsid w:val="003C79BF"/>
    <w:rsid w:val="003D1332"/>
    <w:rsid w:val="003D421F"/>
    <w:rsid w:val="003D4C02"/>
    <w:rsid w:val="003E0153"/>
    <w:rsid w:val="003E0FF6"/>
    <w:rsid w:val="003E182D"/>
    <w:rsid w:val="003E2A8A"/>
    <w:rsid w:val="003E3492"/>
    <w:rsid w:val="003E44BD"/>
    <w:rsid w:val="003E5819"/>
    <w:rsid w:val="003E652C"/>
    <w:rsid w:val="003E70B9"/>
    <w:rsid w:val="003F0B0E"/>
    <w:rsid w:val="003F0E36"/>
    <w:rsid w:val="003F120F"/>
    <w:rsid w:val="003F218B"/>
    <w:rsid w:val="003F4126"/>
    <w:rsid w:val="003F506D"/>
    <w:rsid w:val="00400150"/>
    <w:rsid w:val="00400F99"/>
    <w:rsid w:val="0040537E"/>
    <w:rsid w:val="00413867"/>
    <w:rsid w:val="00413887"/>
    <w:rsid w:val="004144E2"/>
    <w:rsid w:val="00414E3B"/>
    <w:rsid w:val="00417DC4"/>
    <w:rsid w:val="0042118E"/>
    <w:rsid w:val="00423EDB"/>
    <w:rsid w:val="00425199"/>
    <w:rsid w:val="00425F01"/>
    <w:rsid w:val="00426C76"/>
    <w:rsid w:val="00427CC4"/>
    <w:rsid w:val="00427DBD"/>
    <w:rsid w:val="0043062A"/>
    <w:rsid w:val="00431AEA"/>
    <w:rsid w:val="004339B9"/>
    <w:rsid w:val="00433A74"/>
    <w:rsid w:val="00435682"/>
    <w:rsid w:val="00437FF0"/>
    <w:rsid w:val="00440D8B"/>
    <w:rsid w:val="00442958"/>
    <w:rsid w:val="00443C7E"/>
    <w:rsid w:val="004457EB"/>
    <w:rsid w:val="00446FBB"/>
    <w:rsid w:val="004474DB"/>
    <w:rsid w:val="00450A26"/>
    <w:rsid w:val="004510F5"/>
    <w:rsid w:val="00452AF7"/>
    <w:rsid w:val="0045302A"/>
    <w:rsid w:val="0046512D"/>
    <w:rsid w:val="00466340"/>
    <w:rsid w:val="004663F6"/>
    <w:rsid w:val="004670A7"/>
    <w:rsid w:val="004704C7"/>
    <w:rsid w:val="00471688"/>
    <w:rsid w:val="00474AD9"/>
    <w:rsid w:val="00477430"/>
    <w:rsid w:val="00481BA7"/>
    <w:rsid w:val="004826D2"/>
    <w:rsid w:val="00484405"/>
    <w:rsid w:val="00484D4B"/>
    <w:rsid w:val="00491E3F"/>
    <w:rsid w:val="00493CD8"/>
    <w:rsid w:val="004943C0"/>
    <w:rsid w:val="0049539A"/>
    <w:rsid w:val="004953D1"/>
    <w:rsid w:val="00497F52"/>
    <w:rsid w:val="004A0808"/>
    <w:rsid w:val="004A4753"/>
    <w:rsid w:val="004A551B"/>
    <w:rsid w:val="004A660E"/>
    <w:rsid w:val="004A6625"/>
    <w:rsid w:val="004B0AA6"/>
    <w:rsid w:val="004B2E78"/>
    <w:rsid w:val="004B3455"/>
    <w:rsid w:val="004B512E"/>
    <w:rsid w:val="004B7E2E"/>
    <w:rsid w:val="004C5633"/>
    <w:rsid w:val="004D1143"/>
    <w:rsid w:val="004D27D4"/>
    <w:rsid w:val="004D2C83"/>
    <w:rsid w:val="004D3CA7"/>
    <w:rsid w:val="004D3FB9"/>
    <w:rsid w:val="004D7021"/>
    <w:rsid w:val="004E0264"/>
    <w:rsid w:val="004E0411"/>
    <w:rsid w:val="004E1920"/>
    <w:rsid w:val="004E340E"/>
    <w:rsid w:val="004E6A80"/>
    <w:rsid w:val="004E74D0"/>
    <w:rsid w:val="004F5BF2"/>
    <w:rsid w:val="004F6B38"/>
    <w:rsid w:val="0050088A"/>
    <w:rsid w:val="005012A7"/>
    <w:rsid w:val="00502D02"/>
    <w:rsid w:val="0050303E"/>
    <w:rsid w:val="00511354"/>
    <w:rsid w:val="005170B6"/>
    <w:rsid w:val="005229EA"/>
    <w:rsid w:val="0052441B"/>
    <w:rsid w:val="00524E4E"/>
    <w:rsid w:val="00526211"/>
    <w:rsid w:val="00526AA1"/>
    <w:rsid w:val="0053391D"/>
    <w:rsid w:val="00540104"/>
    <w:rsid w:val="0054013A"/>
    <w:rsid w:val="005413BB"/>
    <w:rsid w:val="005448F8"/>
    <w:rsid w:val="00550888"/>
    <w:rsid w:val="005532EC"/>
    <w:rsid w:val="00555259"/>
    <w:rsid w:val="00555CDD"/>
    <w:rsid w:val="00555F81"/>
    <w:rsid w:val="00556375"/>
    <w:rsid w:val="00560868"/>
    <w:rsid w:val="0056480B"/>
    <w:rsid w:val="0057420F"/>
    <w:rsid w:val="00577184"/>
    <w:rsid w:val="00577DDB"/>
    <w:rsid w:val="0058043A"/>
    <w:rsid w:val="005804DF"/>
    <w:rsid w:val="00582ADA"/>
    <w:rsid w:val="00583223"/>
    <w:rsid w:val="00583EFA"/>
    <w:rsid w:val="00585995"/>
    <w:rsid w:val="0058707E"/>
    <w:rsid w:val="005873C5"/>
    <w:rsid w:val="00587E26"/>
    <w:rsid w:val="0059089E"/>
    <w:rsid w:val="00593355"/>
    <w:rsid w:val="00593FC3"/>
    <w:rsid w:val="005948EE"/>
    <w:rsid w:val="0059561E"/>
    <w:rsid w:val="00596A68"/>
    <w:rsid w:val="005970F6"/>
    <w:rsid w:val="005A1198"/>
    <w:rsid w:val="005A2A6C"/>
    <w:rsid w:val="005A54DE"/>
    <w:rsid w:val="005B1640"/>
    <w:rsid w:val="005B1903"/>
    <w:rsid w:val="005B3A48"/>
    <w:rsid w:val="005B3AB0"/>
    <w:rsid w:val="005C04E7"/>
    <w:rsid w:val="005C066E"/>
    <w:rsid w:val="005C1BE6"/>
    <w:rsid w:val="005C34A7"/>
    <w:rsid w:val="005C3D06"/>
    <w:rsid w:val="005C6418"/>
    <w:rsid w:val="005C7CCB"/>
    <w:rsid w:val="005D07B6"/>
    <w:rsid w:val="005D23C4"/>
    <w:rsid w:val="005D704F"/>
    <w:rsid w:val="005E1D4C"/>
    <w:rsid w:val="005E2C8D"/>
    <w:rsid w:val="005E3CD4"/>
    <w:rsid w:val="005E4DD8"/>
    <w:rsid w:val="005E71CE"/>
    <w:rsid w:val="005E7350"/>
    <w:rsid w:val="005E78DF"/>
    <w:rsid w:val="005F16AD"/>
    <w:rsid w:val="005F199C"/>
    <w:rsid w:val="005F2A40"/>
    <w:rsid w:val="005F72BE"/>
    <w:rsid w:val="005F7E12"/>
    <w:rsid w:val="00600377"/>
    <w:rsid w:val="0060262A"/>
    <w:rsid w:val="006047EC"/>
    <w:rsid w:val="00605300"/>
    <w:rsid w:val="006108C5"/>
    <w:rsid w:val="00610922"/>
    <w:rsid w:val="00611265"/>
    <w:rsid w:val="00612D16"/>
    <w:rsid w:val="00613171"/>
    <w:rsid w:val="006146BF"/>
    <w:rsid w:val="00614AE8"/>
    <w:rsid w:val="00620790"/>
    <w:rsid w:val="00620CB5"/>
    <w:rsid w:val="006219F1"/>
    <w:rsid w:val="00624A6B"/>
    <w:rsid w:val="00625162"/>
    <w:rsid w:val="00625C31"/>
    <w:rsid w:val="006260F0"/>
    <w:rsid w:val="00634582"/>
    <w:rsid w:val="00634B94"/>
    <w:rsid w:val="00635881"/>
    <w:rsid w:val="00636FAC"/>
    <w:rsid w:val="00636FBF"/>
    <w:rsid w:val="006400C1"/>
    <w:rsid w:val="00640A0E"/>
    <w:rsid w:val="006433E1"/>
    <w:rsid w:val="006454C7"/>
    <w:rsid w:val="00645A2A"/>
    <w:rsid w:val="00645DA0"/>
    <w:rsid w:val="00645E6F"/>
    <w:rsid w:val="00653781"/>
    <w:rsid w:val="00653AEF"/>
    <w:rsid w:val="0065651B"/>
    <w:rsid w:val="006572BE"/>
    <w:rsid w:val="00657421"/>
    <w:rsid w:val="00670E5E"/>
    <w:rsid w:val="00671376"/>
    <w:rsid w:val="00675664"/>
    <w:rsid w:val="00676342"/>
    <w:rsid w:val="00676897"/>
    <w:rsid w:val="00676AFE"/>
    <w:rsid w:val="00677B05"/>
    <w:rsid w:val="006813DD"/>
    <w:rsid w:val="00684D9C"/>
    <w:rsid w:val="00684F2F"/>
    <w:rsid w:val="006864BE"/>
    <w:rsid w:val="0068738F"/>
    <w:rsid w:val="00692112"/>
    <w:rsid w:val="00693EF6"/>
    <w:rsid w:val="00694EC5"/>
    <w:rsid w:val="00696E73"/>
    <w:rsid w:val="00697204"/>
    <w:rsid w:val="006A0E72"/>
    <w:rsid w:val="006A3B67"/>
    <w:rsid w:val="006A3BDC"/>
    <w:rsid w:val="006A3F58"/>
    <w:rsid w:val="006A5928"/>
    <w:rsid w:val="006A6C6D"/>
    <w:rsid w:val="006A7A62"/>
    <w:rsid w:val="006B093E"/>
    <w:rsid w:val="006B1C50"/>
    <w:rsid w:val="006B64F4"/>
    <w:rsid w:val="006B7220"/>
    <w:rsid w:val="006C34F4"/>
    <w:rsid w:val="006C40D1"/>
    <w:rsid w:val="006D0B9A"/>
    <w:rsid w:val="006D10B9"/>
    <w:rsid w:val="006D38D6"/>
    <w:rsid w:val="006D3E64"/>
    <w:rsid w:val="006D5AFA"/>
    <w:rsid w:val="006D72ED"/>
    <w:rsid w:val="006E123F"/>
    <w:rsid w:val="006E2437"/>
    <w:rsid w:val="006E3453"/>
    <w:rsid w:val="006E64AA"/>
    <w:rsid w:val="006E7C3A"/>
    <w:rsid w:val="006F1D18"/>
    <w:rsid w:val="006F576C"/>
    <w:rsid w:val="00700056"/>
    <w:rsid w:val="0070374C"/>
    <w:rsid w:val="0070462E"/>
    <w:rsid w:val="00705C68"/>
    <w:rsid w:val="00707984"/>
    <w:rsid w:val="00710191"/>
    <w:rsid w:val="00712F1C"/>
    <w:rsid w:val="007139FD"/>
    <w:rsid w:val="00713C77"/>
    <w:rsid w:val="00715439"/>
    <w:rsid w:val="00717B91"/>
    <w:rsid w:val="0072188C"/>
    <w:rsid w:val="00721E53"/>
    <w:rsid w:val="00723CAE"/>
    <w:rsid w:val="007316AF"/>
    <w:rsid w:val="00735580"/>
    <w:rsid w:val="007377F9"/>
    <w:rsid w:val="00740E8D"/>
    <w:rsid w:val="00742F1D"/>
    <w:rsid w:val="007450BA"/>
    <w:rsid w:val="00746748"/>
    <w:rsid w:val="00746F9B"/>
    <w:rsid w:val="007510C0"/>
    <w:rsid w:val="00752728"/>
    <w:rsid w:val="00752F35"/>
    <w:rsid w:val="0075329E"/>
    <w:rsid w:val="00753AFB"/>
    <w:rsid w:val="0075687F"/>
    <w:rsid w:val="00762452"/>
    <w:rsid w:val="00764CE3"/>
    <w:rsid w:val="00767AE3"/>
    <w:rsid w:val="007700DF"/>
    <w:rsid w:val="00771CAC"/>
    <w:rsid w:val="00771CCE"/>
    <w:rsid w:val="00771DB4"/>
    <w:rsid w:val="00773BBF"/>
    <w:rsid w:val="00776D85"/>
    <w:rsid w:val="00780E2A"/>
    <w:rsid w:val="007812A1"/>
    <w:rsid w:val="00781672"/>
    <w:rsid w:val="00784FC8"/>
    <w:rsid w:val="00785752"/>
    <w:rsid w:val="00786FC7"/>
    <w:rsid w:val="00791EF9"/>
    <w:rsid w:val="007933E8"/>
    <w:rsid w:val="00794702"/>
    <w:rsid w:val="007A08A6"/>
    <w:rsid w:val="007A099D"/>
    <w:rsid w:val="007A30B8"/>
    <w:rsid w:val="007A4263"/>
    <w:rsid w:val="007A4E4E"/>
    <w:rsid w:val="007A58AC"/>
    <w:rsid w:val="007A73D8"/>
    <w:rsid w:val="007B060D"/>
    <w:rsid w:val="007B0E0E"/>
    <w:rsid w:val="007B1E72"/>
    <w:rsid w:val="007B2E77"/>
    <w:rsid w:val="007B2FE2"/>
    <w:rsid w:val="007B359D"/>
    <w:rsid w:val="007B36C5"/>
    <w:rsid w:val="007B5123"/>
    <w:rsid w:val="007B7628"/>
    <w:rsid w:val="007B7B03"/>
    <w:rsid w:val="007B7DFA"/>
    <w:rsid w:val="007C2304"/>
    <w:rsid w:val="007C2EC3"/>
    <w:rsid w:val="007C36F7"/>
    <w:rsid w:val="007C560F"/>
    <w:rsid w:val="007C7704"/>
    <w:rsid w:val="007D0EA6"/>
    <w:rsid w:val="007D62B5"/>
    <w:rsid w:val="007D6AD1"/>
    <w:rsid w:val="007D7C7B"/>
    <w:rsid w:val="007E0E0B"/>
    <w:rsid w:val="007E0E7C"/>
    <w:rsid w:val="007E18DB"/>
    <w:rsid w:val="007E1CE8"/>
    <w:rsid w:val="007E4C21"/>
    <w:rsid w:val="007E6073"/>
    <w:rsid w:val="007E635C"/>
    <w:rsid w:val="007E744D"/>
    <w:rsid w:val="007E7A56"/>
    <w:rsid w:val="007F0214"/>
    <w:rsid w:val="007F078F"/>
    <w:rsid w:val="007F5701"/>
    <w:rsid w:val="00802D6A"/>
    <w:rsid w:val="00804D22"/>
    <w:rsid w:val="00805435"/>
    <w:rsid w:val="00807731"/>
    <w:rsid w:val="008118FE"/>
    <w:rsid w:val="008139B5"/>
    <w:rsid w:val="00814271"/>
    <w:rsid w:val="0082013B"/>
    <w:rsid w:val="00822E89"/>
    <w:rsid w:val="0082413C"/>
    <w:rsid w:val="00831973"/>
    <w:rsid w:val="00833B48"/>
    <w:rsid w:val="00834DF3"/>
    <w:rsid w:val="008418B9"/>
    <w:rsid w:val="00842825"/>
    <w:rsid w:val="00843874"/>
    <w:rsid w:val="0084397D"/>
    <w:rsid w:val="00845287"/>
    <w:rsid w:val="0084712C"/>
    <w:rsid w:val="00847195"/>
    <w:rsid w:val="008517D6"/>
    <w:rsid w:val="008531B3"/>
    <w:rsid w:val="00855579"/>
    <w:rsid w:val="008559E5"/>
    <w:rsid w:val="00857ABD"/>
    <w:rsid w:val="00857BF3"/>
    <w:rsid w:val="00861197"/>
    <w:rsid w:val="00861FCC"/>
    <w:rsid w:val="00872612"/>
    <w:rsid w:val="00875A9D"/>
    <w:rsid w:val="00881D25"/>
    <w:rsid w:val="00881D9B"/>
    <w:rsid w:val="00884335"/>
    <w:rsid w:val="008847B9"/>
    <w:rsid w:val="0088670B"/>
    <w:rsid w:val="00890234"/>
    <w:rsid w:val="00894831"/>
    <w:rsid w:val="00894E65"/>
    <w:rsid w:val="008A0342"/>
    <w:rsid w:val="008A157F"/>
    <w:rsid w:val="008A7703"/>
    <w:rsid w:val="008B2E4B"/>
    <w:rsid w:val="008B55AF"/>
    <w:rsid w:val="008B7417"/>
    <w:rsid w:val="008C1833"/>
    <w:rsid w:val="008C220E"/>
    <w:rsid w:val="008C7462"/>
    <w:rsid w:val="008D11C2"/>
    <w:rsid w:val="008D1CF4"/>
    <w:rsid w:val="008D3EB1"/>
    <w:rsid w:val="008D42DA"/>
    <w:rsid w:val="008D5DBF"/>
    <w:rsid w:val="008D6E90"/>
    <w:rsid w:val="008D7615"/>
    <w:rsid w:val="008E08CB"/>
    <w:rsid w:val="008E1777"/>
    <w:rsid w:val="008E2F0B"/>
    <w:rsid w:val="008E3D90"/>
    <w:rsid w:val="008E5F8C"/>
    <w:rsid w:val="008F0383"/>
    <w:rsid w:val="008F1054"/>
    <w:rsid w:val="008F25C7"/>
    <w:rsid w:val="008F2BBF"/>
    <w:rsid w:val="008F6804"/>
    <w:rsid w:val="00900AD8"/>
    <w:rsid w:val="00901884"/>
    <w:rsid w:val="00901A04"/>
    <w:rsid w:val="009066AC"/>
    <w:rsid w:val="0091081F"/>
    <w:rsid w:val="00913FB7"/>
    <w:rsid w:val="00914F18"/>
    <w:rsid w:val="009165FA"/>
    <w:rsid w:val="00917FA0"/>
    <w:rsid w:val="00920C06"/>
    <w:rsid w:val="0092151F"/>
    <w:rsid w:val="009215DC"/>
    <w:rsid w:val="00925C17"/>
    <w:rsid w:val="00926380"/>
    <w:rsid w:val="009263A7"/>
    <w:rsid w:val="009301AB"/>
    <w:rsid w:val="00930F44"/>
    <w:rsid w:val="009323AF"/>
    <w:rsid w:val="00940D40"/>
    <w:rsid w:val="00941090"/>
    <w:rsid w:val="00941281"/>
    <w:rsid w:val="0094189D"/>
    <w:rsid w:val="009438F6"/>
    <w:rsid w:val="00944411"/>
    <w:rsid w:val="009534E2"/>
    <w:rsid w:val="0095656A"/>
    <w:rsid w:val="0095729C"/>
    <w:rsid w:val="009600B5"/>
    <w:rsid w:val="00960C1B"/>
    <w:rsid w:val="009617FC"/>
    <w:rsid w:val="00962819"/>
    <w:rsid w:val="00965B52"/>
    <w:rsid w:val="00967D0B"/>
    <w:rsid w:val="00967DFD"/>
    <w:rsid w:val="00970C06"/>
    <w:rsid w:val="009717F2"/>
    <w:rsid w:val="00971B37"/>
    <w:rsid w:val="00972979"/>
    <w:rsid w:val="00977359"/>
    <w:rsid w:val="009776BF"/>
    <w:rsid w:val="00980022"/>
    <w:rsid w:val="00981204"/>
    <w:rsid w:val="00981E34"/>
    <w:rsid w:val="0098446E"/>
    <w:rsid w:val="00990718"/>
    <w:rsid w:val="00990EE4"/>
    <w:rsid w:val="009929EE"/>
    <w:rsid w:val="00993188"/>
    <w:rsid w:val="0099339C"/>
    <w:rsid w:val="009946EA"/>
    <w:rsid w:val="0099510D"/>
    <w:rsid w:val="00996F51"/>
    <w:rsid w:val="00997E0F"/>
    <w:rsid w:val="009A065C"/>
    <w:rsid w:val="009A0EAB"/>
    <w:rsid w:val="009A2C76"/>
    <w:rsid w:val="009A4022"/>
    <w:rsid w:val="009A7E2C"/>
    <w:rsid w:val="009B025C"/>
    <w:rsid w:val="009B406A"/>
    <w:rsid w:val="009B4851"/>
    <w:rsid w:val="009B4C4B"/>
    <w:rsid w:val="009B5A5F"/>
    <w:rsid w:val="009B6132"/>
    <w:rsid w:val="009B66B0"/>
    <w:rsid w:val="009B70FF"/>
    <w:rsid w:val="009B7143"/>
    <w:rsid w:val="009B764D"/>
    <w:rsid w:val="009C307B"/>
    <w:rsid w:val="009C4EE3"/>
    <w:rsid w:val="009D2E31"/>
    <w:rsid w:val="009D4C1E"/>
    <w:rsid w:val="009D6CE8"/>
    <w:rsid w:val="009E24B0"/>
    <w:rsid w:val="009E4EE4"/>
    <w:rsid w:val="009E59B9"/>
    <w:rsid w:val="009E739C"/>
    <w:rsid w:val="009F125F"/>
    <w:rsid w:val="009F3B7E"/>
    <w:rsid w:val="009F5806"/>
    <w:rsid w:val="009F5F5E"/>
    <w:rsid w:val="009F768B"/>
    <w:rsid w:val="00A0081F"/>
    <w:rsid w:val="00A00977"/>
    <w:rsid w:val="00A012B9"/>
    <w:rsid w:val="00A022B4"/>
    <w:rsid w:val="00A05967"/>
    <w:rsid w:val="00A064CA"/>
    <w:rsid w:val="00A06F2D"/>
    <w:rsid w:val="00A11B6D"/>
    <w:rsid w:val="00A14F39"/>
    <w:rsid w:val="00A16851"/>
    <w:rsid w:val="00A170F9"/>
    <w:rsid w:val="00A2014E"/>
    <w:rsid w:val="00A218CD"/>
    <w:rsid w:val="00A21E7A"/>
    <w:rsid w:val="00A24969"/>
    <w:rsid w:val="00A24CFE"/>
    <w:rsid w:val="00A26C70"/>
    <w:rsid w:val="00A303B2"/>
    <w:rsid w:val="00A31EE2"/>
    <w:rsid w:val="00A34A26"/>
    <w:rsid w:val="00A3692C"/>
    <w:rsid w:val="00A41318"/>
    <w:rsid w:val="00A41952"/>
    <w:rsid w:val="00A43ACB"/>
    <w:rsid w:val="00A50C3E"/>
    <w:rsid w:val="00A50D8A"/>
    <w:rsid w:val="00A51198"/>
    <w:rsid w:val="00A51862"/>
    <w:rsid w:val="00A53FEB"/>
    <w:rsid w:val="00A54E13"/>
    <w:rsid w:val="00A55308"/>
    <w:rsid w:val="00A558C4"/>
    <w:rsid w:val="00A576A5"/>
    <w:rsid w:val="00A6137E"/>
    <w:rsid w:val="00A62341"/>
    <w:rsid w:val="00A646C7"/>
    <w:rsid w:val="00A64FBF"/>
    <w:rsid w:val="00A653AF"/>
    <w:rsid w:val="00A65A6E"/>
    <w:rsid w:val="00A65C6C"/>
    <w:rsid w:val="00A67856"/>
    <w:rsid w:val="00A719FB"/>
    <w:rsid w:val="00A73BB4"/>
    <w:rsid w:val="00A73F99"/>
    <w:rsid w:val="00A755F5"/>
    <w:rsid w:val="00A757FE"/>
    <w:rsid w:val="00A7616A"/>
    <w:rsid w:val="00A76298"/>
    <w:rsid w:val="00A767A8"/>
    <w:rsid w:val="00A77929"/>
    <w:rsid w:val="00A77BAF"/>
    <w:rsid w:val="00A77F02"/>
    <w:rsid w:val="00A81CAA"/>
    <w:rsid w:val="00A82FFC"/>
    <w:rsid w:val="00A833A4"/>
    <w:rsid w:val="00A84FFE"/>
    <w:rsid w:val="00A90DDC"/>
    <w:rsid w:val="00A91B8A"/>
    <w:rsid w:val="00A932EF"/>
    <w:rsid w:val="00A9385D"/>
    <w:rsid w:val="00A94D37"/>
    <w:rsid w:val="00AA02FC"/>
    <w:rsid w:val="00AA3F8B"/>
    <w:rsid w:val="00AA6966"/>
    <w:rsid w:val="00AA6C87"/>
    <w:rsid w:val="00AB183A"/>
    <w:rsid w:val="00AB431B"/>
    <w:rsid w:val="00AB437C"/>
    <w:rsid w:val="00AB7A1D"/>
    <w:rsid w:val="00AC0742"/>
    <w:rsid w:val="00AD276B"/>
    <w:rsid w:val="00AD28B6"/>
    <w:rsid w:val="00AE32FB"/>
    <w:rsid w:val="00AE688F"/>
    <w:rsid w:val="00AE77AF"/>
    <w:rsid w:val="00AE7820"/>
    <w:rsid w:val="00AF1F1F"/>
    <w:rsid w:val="00AF3699"/>
    <w:rsid w:val="00AF5EB5"/>
    <w:rsid w:val="00AF746C"/>
    <w:rsid w:val="00B040E0"/>
    <w:rsid w:val="00B04184"/>
    <w:rsid w:val="00B06840"/>
    <w:rsid w:val="00B07171"/>
    <w:rsid w:val="00B10243"/>
    <w:rsid w:val="00B121CC"/>
    <w:rsid w:val="00B12D72"/>
    <w:rsid w:val="00B140B3"/>
    <w:rsid w:val="00B14F86"/>
    <w:rsid w:val="00B16AA4"/>
    <w:rsid w:val="00B17174"/>
    <w:rsid w:val="00B21618"/>
    <w:rsid w:val="00B2217F"/>
    <w:rsid w:val="00B2365A"/>
    <w:rsid w:val="00B24124"/>
    <w:rsid w:val="00B265B5"/>
    <w:rsid w:val="00B26F96"/>
    <w:rsid w:val="00B31202"/>
    <w:rsid w:val="00B32567"/>
    <w:rsid w:val="00B3402D"/>
    <w:rsid w:val="00B4013D"/>
    <w:rsid w:val="00B42C32"/>
    <w:rsid w:val="00B42CC9"/>
    <w:rsid w:val="00B466E7"/>
    <w:rsid w:val="00B52955"/>
    <w:rsid w:val="00B52EA5"/>
    <w:rsid w:val="00B53748"/>
    <w:rsid w:val="00B5410D"/>
    <w:rsid w:val="00B5592C"/>
    <w:rsid w:val="00B559D3"/>
    <w:rsid w:val="00B57033"/>
    <w:rsid w:val="00B618CF"/>
    <w:rsid w:val="00B6413A"/>
    <w:rsid w:val="00B65D09"/>
    <w:rsid w:val="00B71DE7"/>
    <w:rsid w:val="00B72877"/>
    <w:rsid w:val="00B734FE"/>
    <w:rsid w:val="00B801CC"/>
    <w:rsid w:val="00B81E34"/>
    <w:rsid w:val="00B83E20"/>
    <w:rsid w:val="00B84782"/>
    <w:rsid w:val="00B8648B"/>
    <w:rsid w:val="00B87343"/>
    <w:rsid w:val="00B907B8"/>
    <w:rsid w:val="00B91980"/>
    <w:rsid w:val="00B9614D"/>
    <w:rsid w:val="00BA0B27"/>
    <w:rsid w:val="00BA14CC"/>
    <w:rsid w:val="00BA554E"/>
    <w:rsid w:val="00BB49EE"/>
    <w:rsid w:val="00BB6E74"/>
    <w:rsid w:val="00BC0314"/>
    <w:rsid w:val="00BC32E4"/>
    <w:rsid w:val="00BC3794"/>
    <w:rsid w:val="00BC4108"/>
    <w:rsid w:val="00BC4396"/>
    <w:rsid w:val="00BC65C5"/>
    <w:rsid w:val="00BC6AC3"/>
    <w:rsid w:val="00BC7192"/>
    <w:rsid w:val="00BD210C"/>
    <w:rsid w:val="00BD2BE6"/>
    <w:rsid w:val="00BD56F2"/>
    <w:rsid w:val="00BD5969"/>
    <w:rsid w:val="00BE2610"/>
    <w:rsid w:val="00BE273A"/>
    <w:rsid w:val="00BE2A4F"/>
    <w:rsid w:val="00BE351F"/>
    <w:rsid w:val="00BE37A4"/>
    <w:rsid w:val="00BE660D"/>
    <w:rsid w:val="00BE7B68"/>
    <w:rsid w:val="00BF0B50"/>
    <w:rsid w:val="00BF1E31"/>
    <w:rsid w:val="00BF4013"/>
    <w:rsid w:val="00BF4FB2"/>
    <w:rsid w:val="00BF5B83"/>
    <w:rsid w:val="00BF6998"/>
    <w:rsid w:val="00BF6CFE"/>
    <w:rsid w:val="00C024B1"/>
    <w:rsid w:val="00C041D8"/>
    <w:rsid w:val="00C12C5C"/>
    <w:rsid w:val="00C1326A"/>
    <w:rsid w:val="00C13A5A"/>
    <w:rsid w:val="00C14435"/>
    <w:rsid w:val="00C1539C"/>
    <w:rsid w:val="00C15B70"/>
    <w:rsid w:val="00C16856"/>
    <w:rsid w:val="00C17812"/>
    <w:rsid w:val="00C1785B"/>
    <w:rsid w:val="00C23B19"/>
    <w:rsid w:val="00C30E08"/>
    <w:rsid w:val="00C31C3F"/>
    <w:rsid w:val="00C3255B"/>
    <w:rsid w:val="00C339A7"/>
    <w:rsid w:val="00C33C7C"/>
    <w:rsid w:val="00C34FAF"/>
    <w:rsid w:val="00C35173"/>
    <w:rsid w:val="00C35BE7"/>
    <w:rsid w:val="00C36BEF"/>
    <w:rsid w:val="00C372CC"/>
    <w:rsid w:val="00C376C3"/>
    <w:rsid w:val="00C37949"/>
    <w:rsid w:val="00C4687D"/>
    <w:rsid w:val="00C4779F"/>
    <w:rsid w:val="00C511F4"/>
    <w:rsid w:val="00C54819"/>
    <w:rsid w:val="00C5544B"/>
    <w:rsid w:val="00C55872"/>
    <w:rsid w:val="00C562F9"/>
    <w:rsid w:val="00C56D79"/>
    <w:rsid w:val="00C64398"/>
    <w:rsid w:val="00C65AD1"/>
    <w:rsid w:val="00C6617C"/>
    <w:rsid w:val="00C66C60"/>
    <w:rsid w:val="00C66D6C"/>
    <w:rsid w:val="00C678D5"/>
    <w:rsid w:val="00C702F1"/>
    <w:rsid w:val="00C7243C"/>
    <w:rsid w:val="00C73125"/>
    <w:rsid w:val="00C731D3"/>
    <w:rsid w:val="00C73460"/>
    <w:rsid w:val="00C76EBF"/>
    <w:rsid w:val="00C80948"/>
    <w:rsid w:val="00C8252D"/>
    <w:rsid w:val="00C84C39"/>
    <w:rsid w:val="00C84ED1"/>
    <w:rsid w:val="00C84F57"/>
    <w:rsid w:val="00C868AF"/>
    <w:rsid w:val="00C87A5A"/>
    <w:rsid w:val="00C87FF8"/>
    <w:rsid w:val="00C906B8"/>
    <w:rsid w:val="00C93ADD"/>
    <w:rsid w:val="00C95F26"/>
    <w:rsid w:val="00C9626F"/>
    <w:rsid w:val="00C962C6"/>
    <w:rsid w:val="00C9727D"/>
    <w:rsid w:val="00CA151F"/>
    <w:rsid w:val="00CA41CE"/>
    <w:rsid w:val="00CA49F0"/>
    <w:rsid w:val="00CB186B"/>
    <w:rsid w:val="00CB346C"/>
    <w:rsid w:val="00CB47C0"/>
    <w:rsid w:val="00CB4A47"/>
    <w:rsid w:val="00CB58DE"/>
    <w:rsid w:val="00CB6C56"/>
    <w:rsid w:val="00CB73D4"/>
    <w:rsid w:val="00CC254F"/>
    <w:rsid w:val="00CC292C"/>
    <w:rsid w:val="00CC5830"/>
    <w:rsid w:val="00CC634C"/>
    <w:rsid w:val="00CC6788"/>
    <w:rsid w:val="00CC70FD"/>
    <w:rsid w:val="00CC7B40"/>
    <w:rsid w:val="00CD0D28"/>
    <w:rsid w:val="00CD15E1"/>
    <w:rsid w:val="00CD5846"/>
    <w:rsid w:val="00CD5DAA"/>
    <w:rsid w:val="00CD7879"/>
    <w:rsid w:val="00CE0E65"/>
    <w:rsid w:val="00CE26F3"/>
    <w:rsid w:val="00CE3A31"/>
    <w:rsid w:val="00CE52B5"/>
    <w:rsid w:val="00CE6864"/>
    <w:rsid w:val="00CF24FA"/>
    <w:rsid w:val="00CF51B7"/>
    <w:rsid w:val="00CF73D4"/>
    <w:rsid w:val="00D001C2"/>
    <w:rsid w:val="00D01CF7"/>
    <w:rsid w:val="00D03EBD"/>
    <w:rsid w:val="00D0618E"/>
    <w:rsid w:val="00D07654"/>
    <w:rsid w:val="00D078EA"/>
    <w:rsid w:val="00D107CE"/>
    <w:rsid w:val="00D146E3"/>
    <w:rsid w:val="00D147A9"/>
    <w:rsid w:val="00D14C21"/>
    <w:rsid w:val="00D167F3"/>
    <w:rsid w:val="00D16B6F"/>
    <w:rsid w:val="00D20B1F"/>
    <w:rsid w:val="00D21CAD"/>
    <w:rsid w:val="00D24908"/>
    <w:rsid w:val="00D26CA0"/>
    <w:rsid w:val="00D30345"/>
    <w:rsid w:val="00D305AC"/>
    <w:rsid w:val="00D30E57"/>
    <w:rsid w:val="00D32AF1"/>
    <w:rsid w:val="00D33B11"/>
    <w:rsid w:val="00D3636C"/>
    <w:rsid w:val="00D37419"/>
    <w:rsid w:val="00D37D68"/>
    <w:rsid w:val="00D4315F"/>
    <w:rsid w:val="00D44987"/>
    <w:rsid w:val="00D4691B"/>
    <w:rsid w:val="00D5416B"/>
    <w:rsid w:val="00D57608"/>
    <w:rsid w:val="00D60FB0"/>
    <w:rsid w:val="00D713DC"/>
    <w:rsid w:val="00D726EB"/>
    <w:rsid w:val="00D74D85"/>
    <w:rsid w:val="00D74FF7"/>
    <w:rsid w:val="00D7657F"/>
    <w:rsid w:val="00D773FA"/>
    <w:rsid w:val="00D77579"/>
    <w:rsid w:val="00D810D5"/>
    <w:rsid w:val="00D81FD6"/>
    <w:rsid w:val="00D82EBD"/>
    <w:rsid w:val="00D858AC"/>
    <w:rsid w:val="00D87A92"/>
    <w:rsid w:val="00D9125D"/>
    <w:rsid w:val="00D91EA2"/>
    <w:rsid w:val="00D92928"/>
    <w:rsid w:val="00D955BD"/>
    <w:rsid w:val="00D95D4F"/>
    <w:rsid w:val="00DA4172"/>
    <w:rsid w:val="00DA7431"/>
    <w:rsid w:val="00DB210D"/>
    <w:rsid w:val="00DB26A7"/>
    <w:rsid w:val="00DB4609"/>
    <w:rsid w:val="00DB70E9"/>
    <w:rsid w:val="00DB74C8"/>
    <w:rsid w:val="00DB752B"/>
    <w:rsid w:val="00DC2A20"/>
    <w:rsid w:val="00DC6733"/>
    <w:rsid w:val="00DC729A"/>
    <w:rsid w:val="00DD288F"/>
    <w:rsid w:val="00DD289F"/>
    <w:rsid w:val="00DD6AC4"/>
    <w:rsid w:val="00DD78D6"/>
    <w:rsid w:val="00DE07F2"/>
    <w:rsid w:val="00DF0571"/>
    <w:rsid w:val="00DF1178"/>
    <w:rsid w:val="00DF1353"/>
    <w:rsid w:val="00DF6FA8"/>
    <w:rsid w:val="00E000D6"/>
    <w:rsid w:val="00E0242C"/>
    <w:rsid w:val="00E04960"/>
    <w:rsid w:val="00E06A05"/>
    <w:rsid w:val="00E07869"/>
    <w:rsid w:val="00E10673"/>
    <w:rsid w:val="00E10CC3"/>
    <w:rsid w:val="00E12912"/>
    <w:rsid w:val="00E12A19"/>
    <w:rsid w:val="00E15CA5"/>
    <w:rsid w:val="00E16E9C"/>
    <w:rsid w:val="00E21460"/>
    <w:rsid w:val="00E233E4"/>
    <w:rsid w:val="00E24CF9"/>
    <w:rsid w:val="00E261FE"/>
    <w:rsid w:val="00E310FE"/>
    <w:rsid w:val="00E33A41"/>
    <w:rsid w:val="00E3628E"/>
    <w:rsid w:val="00E36985"/>
    <w:rsid w:val="00E36A71"/>
    <w:rsid w:val="00E3710F"/>
    <w:rsid w:val="00E378E5"/>
    <w:rsid w:val="00E37BC9"/>
    <w:rsid w:val="00E46547"/>
    <w:rsid w:val="00E468D1"/>
    <w:rsid w:val="00E51905"/>
    <w:rsid w:val="00E52AC8"/>
    <w:rsid w:val="00E531E7"/>
    <w:rsid w:val="00E5417F"/>
    <w:rsid w:val="00E553EE"/>
    <w:rsid w:val="00E558B5"/>
    <w:rsid w:val="00E56BFB"/>
    <w:rsid w:val="00E66EBC"/>
    <w:rsid w:val="00E72178"/>
    <w:rsid w:val="00E723BB"/>
    <w:rsid w:val="00E7243E"/>
    <w:rsid w:val="00E725D5"/>
    <w:rsid w:val="00E729BC"/>
    <w:rsid w:val="00E73BA9"/>
    <w:rsid w:val="00E73DF0"/>
    <w:rsid w:val="00E77AB2"/>
    <w:rsid w:val="00E77FF4"/>
    <w:rsid w:val="00E8056D"/>
    <w:rsid w:val="00E819F3"/>
    <w:rsid w:val="00E8299D"/>
    <w:rsid w:val="00E8591F"/>
    <w:rsid w:val="00E8695D"/>
    <w:rsid w:val="00E8784C"/>
    <w:rsid w:val="00E94C07"/>
    <w:rsid w:val="00EA46A0"/>
    <w:rsid w:val="00EB1C1D"/>
    <w:rsid w:val="00EB1F4E"/>
    <w:rsid w:val="00EB295E"/>
    <w:rsid w:val="00EB4EC1"/>
    <w:rsid w:val="00EB66DD"/>
    <w:rsid w:val="00EC19F8"/>
    <w:rsid w:val="00EC40A2"/>
    <w:rsid w:val="00EC56E8"/>
    <w:rsid w:val="00EC59A8"/>
    <w:rsid w:val="00EC5A0A"/>
    <w:rsid w:val="00EC6D9D"/>
    <w:rsid w:val="00ED1C7A"/>
    <w:rsid w:val="00ED2406"/>
    <w:rsid w:val="00ED29B6"/>
    <w:rsid w:val="00ED46C0"/>
    <w:rsid w:val="00EE11BB"/>
    <w:rsid w:val="00EE2C9E"/>
    <w:rsid w:val="00EE3703"/>
    <w:rsid w:val="00EF2A27"/>
    <w:rsid w:val="00EF3789"/>
    <w:rsid w:val="00EF3A8E"/>
    <w:rsid w:val="00EF44AD"/>
    <w:rsid w:val="00EF4D98"/>
    <w:rsid w:val="00EF64F6"/>
    <w:rsid w:val="00F01AE5"/>
    <w:rsid w:val="00F01CDC"/>
    <w:rsid w:val="00F0234E"/>
    <w:rsid w:val="00F05C0B"/>
    <w:rsid w:val="00F13B74"/>
    <w:rsid w:val="00F13FD8"/>
    <w:rsid w:val="00F15708"/>
    <w:rsid w:val="00F20B0F"/>
    <w:rsid w:val="00F212F6"/>
    <w:rsid w:val="00F23078"/>
    <w:rsid w:val="00F24021"/>
    <w:rsid w:val="00F252AF"/>
    <w:rsid w:val="00F26B1B"/>
    <w:rsid w:val="00F30098"/>
    <w:rsid w:val="00F33237"/>
    <w:rsid w:val="00F332BB"/>
    <w:rsid w:val="00F33CB7"/>
    <w:rsid w:val="00F34789"/>
    <w:rsid w:val="00F37209"/>
    <w:rsid w:val="00F41864"/>
    <w:rsid w:val="00F4601C"/>
    <w:rsid w:val="00F517A2"/>
    <w:rsid w:val="00F525D8"/>
    <w:rsid w:val="00F52C19"/>
    <w:rsid w:val="00F561FE"/>
    <w:rsid w:val="00F57865"/>
    <w:rsid w:val="00F6289A"/>
    <w:rsid w:val="00F63089"/>
    <w:rsid w:val="00F634AD"/>
    <w:rsid w:val="00F63F75"/>
    <w:rsid w:val="00F642C9"/>
    <w:rsid w:val="00F643C1"/>
    <w:rsid w:val="00F6483E"/>
    <w:rsid w:val="00F6508E"/>
    <w:rsid w:val="00F65E7A"/>
    <w:rsid w:val="00F6771A"/>
    <w:rsid w:val="00F6777C"/>
    <w:rsid w:val="00F7090F"/>
    <w:rsid w:val="00F71AA2"/>
    <w:rsid w:val="00F71B9B"/>
    <w:rsid w:val="00F72776"/>
    <w:rsid w:val="00F7346A"/>
    <w:rsid w:val="00F7454D"/>
    <w:rsid w:val="00F75FB5"/>
    <w:rsid w:val="00F771E9"/>
    <w:rsid w:val="00F817EF"/>
    <w:rsid w:val="00F8194D"/>
    <w:rsid w:val="00F81A5C"/>
    <w:rsid w:val="00F81BD1"/>
    <w:rsid w:val="00F83E80"/>
    <w:rsid w:val="00F8676F"/>
    <w:rsid w:val="00F91437"/>
    <w:rsid w:val="00F92651"/>
    <w:rsid w:val="00F9587C"/>
    <w:rsid w:val="00F9693C"/>
    <w:rsid w:val="00FB1293"/>
    <w:rsid w:val="00FB1523"/>
    <w:rsid w:val="00FB1913"/>
    <w:rsid w:val="00FB22B5"/>
    <w:rsid w:val="00FB2531"/>
    <w:rsid w:val="00FB2FDE"/>
    <w:rsid w:val="00FB5100"/>
    <w:rsid w:val="00FB60AB"/>
    <w:rsid w:val="00FC3348"/>
    <w:rsid w:val="00FC7225"/>
    <w:rsid w:val="00FC7408"/>
    <w:rsid w:val="00FC7C24"/>
    <w:rsid w:val="00FD02BE"/>
    <w:rsid w:val="00FD1A2E"/>
    <w:rsid w:val="00FD226A"/>
    <w:rsid w:val="00FD28EE"/>
    <w:rsid w:val="00FD604E"/>
    <w:rsid w:val="00FD6E6D"/>
    <w:rsid w:val="00FE3E4E"/>
    <w:rsid w:val="00FE491B"/>
    <w:rsid w:val="00FE501C"/>
    <w:rsid w:val="00FE622D"/>
    <w:rsid w:val="00FF1BF9"/>
    <w:rsid w:val="00FF261C"/>
    <w:rsid w:val="00FF2B58"/>
    <w:rsid w:val="00FF306F"/>
    <w:rsid w:val="00FF3BAF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C816B"/>
  <w15:chartTrackingRefBased/>
  <w15:docId w15:val="{01607D9F-D1E7-4E47-A7BE-A0E008B6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8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83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43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3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C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FC0"/>
  </w:style>
  <w:style w:type="paragraph" w:styleId="Footer">
    <w:name w:val="footer"/>
    <w:basedOn w:val="Normal"/>
    <w:link w:val="FooterChar"/>
    <w:uiPriority w:val="99"/>
    <w:unhideWhenUsed/>
    <w:rsid w:val="0023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FC0"/>
  </w:style>
  <w:style w:type="paragraph" w:styleId="Revision">
    <w:name w:val="Revision"/>
    <w:hidden/>
    <w:uiPriority w:val="99"/>
    <w:semiHidden/>
    <w:rsid w:val="00141AA7"/>
    <w:pPr>
      <w:spacing w:after="0" w:line="240" w:lineRule="auto"/>
    </w:pPr>
  </w:style>
  <w:style w:type="paragraph" w:styleId="NoSpacing">
    <w:name w:val="No Spacing"/>
    <w:uiPriority w:val="1"/>
    <w:qFormat/>
    <w:rsid w:val="005D07B6"/>
    <w:pPr>
      <w:spacing w:after="0" w:line="240" w:lineRule="auto"/>
    </w:pPr>
  </w:style>
  <w:style w:type="character" w:customStyle="1" w:styleId="cf01">
    <w:name w:val="cf01"/>
    <w:basedOn w:val="DefaultParagraphFont"/>
    <w:rsid w:val="00426C7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63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63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63B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C7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C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7CC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D0D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o.org.uk/wp-content/uploads/2016/03/Efficiency-in-the-criminal-justice-system.pdf" TargetMode="External"/><Relationship Id="rId13" Type="http://schemas.openxmlformats.org/officeDocument/2006/relationships/hyperlink" Target="https://www.gov.uk/government/publications/prison-performance-data-2021-to-2022" TargetMode="External"/><Relationship Id="rId18" Type="http://schemas.openxmlformats.org/officeDocument/2006/relationships/hyperlink" Target="https://assets.publishing.service.gov.uk/media/5b684f22e5274a14f45342c9/the-economic-and-social-costs-of-crime-horr99.pdf" TargetMode="External"/><Relationship Id="rId3" Type="http://schemas.openxmlformats.org/officeDocument/2006/relationships/hyperlink" Target="https://homemcr.org/article/dangerous-associations-a-documentary/" TargetMode="External"/><Relationship Id="rId21" Type="http://schemas.openxmlformats.org/officeDocument/2006/relationships/hyperlink" Target="https://committees.parliament.uk/writtenevidence/52012/html/" TargetMode="External"/><Relationship Id="rId7" Type="http://schemas.openxmlformats.org/officeDocument/2006/relationships/hyperlink" Target="https://www.crimejusticejournal.com/article/view/2542" TargetMode="External"/><Relationship Id="rId12" Type="http://schemas.openxmlformats.org/officeDocument/2006/relationships/hyperlink" Target="https://view.officeapps.live.com/op/view.aspx?src=https%3A%2F%2Fwww.cps.gov.uk%2Fsites%2Fdefault%2Ffiles%2Fdocuments%2Fpublications%2FProsecution-Data-Tables-Year-Ending-June-2022.xlsx&amp;wdOrigin=BROWSELINK" TargetMode="External"/><Relationship Id="rId17" Type="http://schemas.openxmlformats.org/officeDocument/2006/relationships/hyperlink" Target="https://academic.oup.com/bjc/article/59/6/1328/5498428" TargetMode="External"/><Relationship Id="rId2" Type="http://schemas.openxmlformats.org/officeDocument/2006/relationships/hyperlink" Target="https://www.crimeandjustice.org.uk/publications/dangerous-associations-joint-enterprise-gangs-and-racism" TargetMode="External"/><Relationship Id="rId16" Type="http://schemas.openxmlformats.org/officeDocument/2006/relationships/hyperlink" Target="https://www.crimeandjustice.org.uk/publications/dangerous-associations-joint-enterprise-gangs-and-racism" TargetMode="External"/><Relationship Id="rId20" Type="http://schemas.openxmlformats.org/officeDocument/2006/relationships/hyperlink" Target="https://assets.publishing.service.gov.uk/media/5a82b6c8e5274a2e87dc29cf/david-lammy-open-letter-to-prime-minister.pdf" TargetMode="External"/><Relationship Id="rId1" Type="http://schemas.openxmlformats.org/officeDocument/2006/relationships/hyperlink" Target="https://mmuperu.co.uk/" TargetMode="External"/><Relationship Id="rId6" Type="http://schemas.openxmlformats.org/officeDocument/2006/relationships/hyperlink" Target="https://www.youtube.com/watch?v=Qp8lYH0hGzg" TargetMode="External"/><Relationship Id="rId11" Type="http://schemas.openxmlformats.org/officeDocument/2006/relationships/hyperlink" Target="https://barrowcadbury.org.uk/wp-content/uploads/2020/11/Stories-of-Injustice-women-and-JE.pdf" TargetMode="External"/><Relationship Id="rId5" Type="http://schemas.openxmlformats.org/officeDocument/2006/relationships/hyperlink" Target="https://barrowcadbury.org.uk/wp-content/uploads/2020/11/Stories-of-Injustice-women-and-JE.pdf" TargetMode="External"/><Relationship Id="rId15" Type="http://schemas.openxmlformats.org/officeDocument/2006/relationships/hyperlink" Target="https://assets.publishing.service.gov.uk/media/5b684f22e5274a14f45342c9/the-economic-and-social-costs-of-crime-horr99.pdf" TargetMode="External"/><Relationship Id="rId10" Type="http://schemas.openxmlformats.org/officeDocument/2006/relationships/hyperlink" Target="https://www.crimeandjustice.org.uk/publications/dangerous-associations-joint-enterprise-gangs-and-racism" TargetMode="External"/><Relationship Id="rId19" Type="http://schemas.openxmlformats.org/officeDocument/2006/relationships/hyperlink" Target="https://protect-eu.mimecast.com/s/dPydC9prxI5OgzkHobxj9?domain=nao.org.uk" TargetMode="External"/><Relationship Id="rId4" Type="http://schemas.openxmlformats.org/officeDocument/2006/relationships/hyperlink" Target="https://www.crimejusticejournal.com/article/view/1268" TargetMode="External"/><Relationship Id="rId9" Type="http://schemas.openxmlformats.org/officeDocument/2006/relationships/hyperlink" Target="https://www.cps.gov.uk/publication/crown-prosecution-service-joint-enterprise-pilot-2023-data-analysis" TargetMode="External"/><Relationship Id="rId14" Type="http://schemas.openxmlformats.org/officeDocument/2006/relationships/hyperlink" Target="https://assets.publishing.service.gov.uk/media/5b684f22e5274a14f45342c9/the-economic-and-social-costs-of-crime-horr9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3A38-D3F1-4E18-9B16-2AB5B5AD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Clarke</dc:creator>
  <cp:keywords/>
  <dc:description/>
  <cp:lastModifiedBy>Karl Turner</cp:lastModifiedBy>
  <cp:revision>3</cp:revision>
  <cp:lastPrinted>2024-01-24T13:04:00Z</cp:lastPrinted>
  <dcterms:created xsi:type="dcterms:W3CDTF">2024-01-29T08:34:00Z</dcterms:created>
  <dcterms:modified xsi:type="dcterms:W3CDTF">2024-01-29T08:39:00Z</dcterms:modified>
</cp:coreProperties>
</file>